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轻工科学与工程学院推荐优秀应届本科毕业生</w:t>
      </w:r>
    </w:p>
    <w:p>
      <w:pPr>
        <w:snapToGrid w:val="0"/>
        <w:spacing w:line="360" w:lineRule="auto"/>
        <w:jc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免试攻读研究生工作实施细则</w:t>
      </w:r>
    </w:p>
    <w:p>
      <w:pPr>
        <w:snapToGrid w:val="0"/>
        <w:spacing w:before="584" w:beforeLines="200" w:after="146" w:afterLines="50" w:line="360" w:lineRule="auto"/>
        <w:jc w:val="center"/>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第一章  指导思想和工作原则</w:t>
      </w:r>
    </w:p>
    <w:p>
      <w:pPr>
        <w:snapToGrid w:val="0"/>
        <w:spacing w:line="360" w:lineRule="auto"/>
        <w:ind w:firstLine="643"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 xml:space="preserve">第一条  </w:t>
      </w:r>
      <w:r>
        <w:rPr>
          <w:rFonts w:hint="eastAsia" w:ascii="仿宋_GB2312" w:hAnsi="仿宋_GB2312" w:eastAsia="仿宋_GB2312" w:cs="仿宋_GB2312"/>
          <w:snapToGrid w:val="0"/>
          <w:kern w:val="0"/>
          <w:sz w:val="32"/>
          <w:szCs w:val="32"/>
        </w:rPr>
        <w:t>推荐优秀应届本科毕业生免试攻读研究生工作（以下简称“推免工作”）是研究生多元招生体系的重要组成部分，是加强拔尖创新人才选拔，提高研究生招生质量的重要举措，也是促进和激励在校本科生勤奋学习、全面发展的有效机制。根据《关于进一步规范和加强推荐优秀应届本科毕业生免试攻读研究生工作的通知》（教学厅〔2020〕12号）、《关于进一步完善推荐优秀应届本科毕业生免试攻读研究生工作办法的通知》（教学厅〔2014〕5号）、《全国普通高等学校推荐优秀应届本科毕业生免试攻读硕士学位研究生工作管理办法（试行）》（教学〔2006〕14号）以及学校相关文件精神，结合学院实际情况，制订本细则。</w:t>
      </w:r>
    </w:p>
    <w:p>
      <w:pPr>
        <w:snapToGrid w:val="0"/>
        <w:spacing w:line="360" w:lineRule="auto"/>
        <w:ind w:firstLine="643"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 xml:space="preserve">第二条  </w:t>
      </w:r>
      <w:r>
        <w:rPr>
          <w:rFonts w:hint="eastAsia" w:ascii="仿宋_GB2312" w:hAnsi="仿宋_GB2312" w:eastAsia="仿宋_GB2312" w:cs="仿宋_GB2312"/>
          <w:snapToGrid w:val="0"/>
          <w:kern w:val="0"/>
          <w:sz w:val="32"/>
          <w:szCs w:val="32"/>
        </w:rPr>
        <w:t>学院坚持公平、公正、公开的原则，遵循规范、透明的推荐流程实施推免工作。坚持德智体美劳全面衡量，以德为先，择优推荐，思想品德考核不合格者不予推荐。</w:t>
      </w:r>
    </w:p>
    <w:p>
      <w:pPr>
        <w:snapToGrid w:val="0"/>
        <w:spacing w:before="292" w:beforeLines="100" w:line="360" w:lineRule="auto"/>
        <w:jc w:val="center"/>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第二章  组织领导</w:t>
      </w:r>
    </w:p>
    <w:p>
      <w:pPr>
        <w:snapToGrid w:val="0"/>
        <w:spacing w:before="146" w:beforeLines="50" w:line="360" w:lineRule="auto"/>
        <w:ind w:firstLine="643" w:firstLineChars="200"/>
        <w:rPr>
          <w:rFonts w:ascii="仿宋_GB2312" w:hAnsi="仿宋_GB2312" w:eastAsia="仿宋_GB2312" w:cs="仿宋_GB2312"/>
          <w:snapToGrid w:val="0"/>
          <w:kern w:val="0"/>
          <w:sz w:val="32"/>
          <w:szCs w:val="32"/>
          <w:highlight w:val="yellow"/>
        </w:rPr>
      </w:pPr>
      <w:r>
        <w:rPr>
          <w:rFonts w:hint="eastAsia" w:ascii="仿宋_GB2312" w:hAnsi="仿宋_GB2312" w:eastAsia="仿宋_GB2312" w:cs="仿宋_GB2312"/>
          <w:b/>
          <w:snapToGrid w:val="0"/>
          <w:kern w:val="0"/>
          <w:sz w:val="32"/>
          <w:szCs w:val="32"/>
        </w:rPr>
        <w:t xml:space="preserve">第三条  </w:t>
      </w:r>
      <w:r>
        <w:rPr>
          <w:rFonts w:hint="eastAsia" w:ascii="仿宋_GB2312" w:hAnsi="仿宋_GB2312" w:eastAsia="仿宋_GB2312" w:cs="仿宋_GB2312"/>
          <w:snapToGrid w:val="0"/>
          <w:kern w:val="0"/>
          <w:sz w:val="32"/>
          <w:szCs w:val="32"/>
        </w:rPr>
        <w:t>学院成立以党委书记和院长为组长，分管学院本科教学、学生工作的院领导为副组长，包含学院学术委员会成员代表、研究生导师代表在内的推免生遴选工作小组，由7～9人组成，负责本学院推免工作具体组织实施，落实集体议事和集体决策制度，同时负责处理推荐过程中申请者提出的质疑和申诉。学院推免工作接受学院纪委全程监督。</w:t>
      </w:r>
    </w:p>
    <w:p>
      <w:pPr>
        <w:snapToGrid w:val="0"/>
        <w:spacing w:before="146" w:beforeLines="50" w:line="360" w:lineRule="auto"/>
        <w:ind w:firstLine="643" w:firstLineChars="200"/>
        <w:rPr>
          <w:rFonts w:ascii="仿宋_GB2312" w:hAnsi="仿宋_GB2312" w:eastAsia="仿宋_GB2312" w:cs="仿宋_GB2312"/>
          <w:snapToGrid w:val="0"/>
          <w:kern w:val="0"/>
          <w:sz w:val="32"/>
          <w:szCs w:val="32"/>
          <w:highlight w:val="yellow"/>
        </w:rPr>
      </w:pPr>
      <w:r>
        <w:rPr>
          <w:rFonts w:hint="eastAsia" w:ascii="仿宋_GB2312" w:hAnsi="仿宋_GB2312" w:eastAsia="仿宋_GB2312" w:cs="仿宋_GB2312"/>
          <w:b/>
          <w:bCs/>
          <w:snapToGrid w:val="0"/>
          <w:kern w:val="0"/>
          <w:sz w:val="32"/>
          <w:szCs w:val="32"/>
        </w:rPr>
        <w:t>第四条</w:t>
      </w:r>
      <w:r>
        <w:rPr>
          <w:rFonts w:hint="eastAsia" w:ascii="仿宋_GB2312" w:hAnsi="仿宋_GB2312" w:eastAsia="仿宋_GB2312" w:cs="仿宋_GB2312"/>
          <w:b/>
          <w:snapToGrid w:val="0"/>
          <w:kern w:val="0"/>
          <w:sz w:val="32"/>
          <w:szCs w:val="32"/>
        </w:rPr>
        <w:t xml:space="preserve">  </w:t>
      </w:r>
      <w:r>
        <w:rPr>
          <w:rFonts w:hint="eastAsia" w:ascii="仿宋_GB2312" w:hAnsi="仿宋_GB2312" w:eastAsia="仿宋_GB2312" w:cs="仿宋_GB2312"/>
          <w:snapToGrid w:val="0"/>
          <w:kern w:val="0"/>
          <w:sz w:val="32"/>
          <w:szCs w:val="32"/>
        </w:rPr>
        <w:t>推免工作执行回避制度。推免相关工作人员有近亲属或与其有其他关系，可能影响推免公正性的相关人员等报名参加学院推免招生的应主动申请回避，有</w:t>
      </w:r>
      <w:bookmarkStart w:id="0" w:name="OLE_LINK1"/>
      <w:r>
        <w:rPr>
          <w:rFonts w:hint="eastAsia" w:ascii="仿宋_GB2312" w:hAnsi="仿宋_GB2312" w:eastAsia="仿宋_GB2312" w:cs="仿宋_GB2312"/>
          <w:snapToGrid w:val="0"/>
          <w:kern w:val="0"/>
          <w:sz w:val="32"/>
          <w:szCs w:val="32"/>
        </w:rPr>
        <w:t>非直系亲属</w:t>
      </w:r>
      <w:bookmarkEnd w:id="0"/>
      <w:r>
        <w:rPr>
          <w:rFonts w:hint="eastAsia" w:ascii="仿宋_GB2312" w:hAnsi="仿宋_GB2312" w:eastAsia="仿宋_GB2312" w:cs="仿宋_GB2312"/>
          <w:snapToGrid w:val="0"/>
          <w:kern w:val="0"/>
          <w:sz w:val="32"/>
          <w:szCs w:val="32"/>
        </w:rPr>
        <w:t>等报名参加推免招生的要主动报备。相关学生申请推免资格时也应主动向学校报备声明。对未按规定报备声明回避关系的推免相关工作人员，学校依规依纪严肃处理；对未按规定报备声明回避关系且影响推免过程和结果公平公正的学生，学校取消其推免资格。</w:t>
      </w:r>
    </w:p>
    <w:p>
      <w:pPr>
        <w:autoSpaceDE w:val="0"/>
        <w:autoSpaceDN w:val="0"/>
        <w:adjustRightInd w:val="0"/>
        <w:spacing w:before="292" w:beforeLines="100" w:after="146" w:afterLines="50" w:line="360" w:lineRule="auto"/>
        <w:jc w:val="center"/>
        <w:rPr>
          <w:rFonts w:ascii="黑体" w:hAnsi="黑体" w:eastAsia="黑体" w:cs="黑体"/>
          <w:bCs/>
          <w:kern w:val="0"/>
          <w:sz w:val="32"/>
          <w:szCs w:val="32"/>
        </w:rPr>
      </w:pPr>
      <w:r>
        <w:rPr>
          <w:rFonts w:hint="eastAsia" w:ascii="黑体" w:hAnsi="黑体" w:eastAsia="黑体" w:cs="黑体"/>
          <w:bCs/>
          <w:kern w:val="0"/>
          <w:sz w:val="32"/>
          <w:szCs w:val="32"/>
        </w:rPr>
        <w:t>第三章 推免生推荐条件</w:t>
      </w:r>
    </w:p>
    <w:p>
      <w:pPr>
        <w:autoSpaceDE w:val="0"/>
        <w:autoSpaceDN w:val="0"/>
        <w:adjustRightInd w:val="0"/>
        <w:spacing w:line="360" w:lineRule="auto"/>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第五条  </w:t>
      </w:r>
      <w:r>
        <w:rPr>
          <w:rFonts w:hint="eastAsia" w:ascii="仿宋_GB2312" w:hAnsi="仿宋_GB2312" w:eastAsia="仿宋_GB2312" w:cs="仿宋_GB2312"/>
          <w:kern w:val="0"/>
          <w:sz w:val="32"/>
          <w:szCs w:val="32"/>
        </w:rPr>
        <w:t>遴选推荐条件</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（一）热爱祖国，拥护中国共产党的领导，拥护社会主义制度，社会责任感强，遵纪守法，无任何违法违纪受处分记录，关心集体，尊敬师长，团结同学，具备良好的思想政治觉悟、道德品质和行为习惯；</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（二）学习目的明确，学风端正，诚实守信，无任何考试违纪或作弊处分情况，未出现剽窃他人学术成果等学术不端行为；</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（三）掌握本学科坚实的基础理论和系统的专业知识，具有较强的分析问题和解决问题的能力，具备较强的创新潜质和创新能力；</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（四）申报者身体健康状况应达到教育部规定的招生体检标准；</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（五）绩点排名要求：</w:t>
      </w:r>
      <w:r>
        <w:rPr>
          <w:rFonts w:hint="eastAsia" w:ascii="仿宋_GB2312" w:hAnsi="仿宋_GB2312" w:eastAsia="仿宋_GB2312" w:cs="仿宋_GB2312"/>
          <w:kern w:val="0"/>
          <w:sz w:val="32"/>
          <w:szCs w:val="32"/>
          <w:lang w:eastAsia="zh-CN"/>
        </w:rPr>
        <w:t>推免</w:t>
      </w:r>
      <w:r>
        <w:rPr>
          <w:rFonts w:hint="eastAsia" w:ascii="仿宋_GB2312" w:hAnsi="仿宋_GB2312" w:eastAsia="仿宋_GB2312" w:cs="仿宋_GB2312"/>
          <w:kern w:val="0"/>
          <w:sz w:val="32"/>
          <w:szCs w:val="32"/>
        </w:rPr>
        <w:t>平均学分绩点排名位列本专业前30%。</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（六）除上述条件外，研究生支教团推荐条件按相关文件执行。</w:t>
      </w:r>
    </w:p>
    <w:p>
      <w:pPr>
        <w:autoSpaceDE w:val="0"/>
        <w:autoSpaceDN w:val="0"/>
        <w:adjustRightInd w:val="0"/>
        <w:spacing w:before="292" w:beforeLines="100" w:after="146" w:afterLines="50" w:line="360" w:lineRule="auto"/>
        <w:jc w:val="center"/>
        <w:rPr>
          <w:rFonts w:ascii="黑体" w:hAnsi="黑体" w:eastAsia="黑体" w:cs="黑体"/>
          <w:bCs/>
          <w:kern w:val="0"/>
          <w:sz w:val="32"/>
          <w:szCs w:val="32"/>
        </w:rPr>
      </w:pPr>
      <w:r>
        <w:rPr>
          <w:rFonts w:hint="eastAsia" w:ascii="黑体" w:hAnsi="黑体" w:eastAsia="黑体" w:cs="黑体"/>
          <w:bCs/>
          <w:kern w:val="0"/>
          <w:sz w:val="32"/>
          <w:szCs w:val="32"/>
        </w:rPr>
        <w:t>第四章 特殊学术专长学生的遴选及奖励</w:t>
      </w:r>
    </w:p>
    <w:p>
      <w:pPr>
        <w:autoSpaceDE w:val="0"/>
        <w:autoSpaceDN w:val="0"/>
        <w:adjustRightInd w:val="0"/>
        <w:spacing w:line="360" w:lineRule="auto"/>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第六条  </w:t>
      </w:r>
      <w:r>
        <w:rPr>
          <w:rFonts w:hint="eastAsia" w:ascii="仿宋_GB2312" w:hAnsi="仿宋_GB2312" w:eastAsia="仿宋_GB2312" w:cs="仿宋_GB2312"/>
          <w:kern w:val="0"/>
          <w:sz w:val="32"/>
          <w:szCs w:val="32"/>
        </w:rPr>
        <w:t>特殊学术专长学生的条件</w:t>
      </w:r>
    </w:p>
    <w:p>
      <w:pPr>
        <w:autoSpaceDE w:val="0"/>
        <w:autoSpaceDN w:val="0"/>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具备推免生推荐条件的同时，学生本科阶段以天津科技大学为第一署名单位，在核心期刊上以独立作者发表的与学业相关的科研论文，或作为第一负责人参加与学业相关的权威科研竞赛全国决赛并获得三等奖及以上奖励。国内权威科研竞赛范围为：中国国际“互联网+”大学生创新创业大赛、“挑战杯”全国大学生课外学术科技作品竞赛、“挑战杯”中国大学生创业计划竞赛。</w:t>
      </w:r>
    </w:p>
    <w:p>
      <w:pPr>
        <w:autoSpaceDE w:val="0"/>
        <w:autoSpaceDN w:val="0"/>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（二）具有特殊学术专长者，须经至少3名本校相关专业教授联名推荐。相关材料认定时间截止至推免工作当年8月31日（以正式文件或获奖证书落款日期为准）。</w:t>
      </w:r>
    </w:p>
    <w:p>
      <w:pPr>
        <w:autoSpaceDE w:val="0"/>
        <w:autoSpaceDN w:val="0"/>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学生与近亲属或学历、职称、职务明显高于本人者合作的科研成果、竞赛奖项等仅作为参考，同等条件下可优先考虑，不纳入学生本人推免遴选综合评价成绩计算体系，不可作为特殊学术专长推免生申报依据。</w:t>
      </w:r>
    </w:p>
    <w:p>
      <w:pPr>
        <w:autoSpaceDE w:val="0"/>
        <w:autoSpaceDN w:val="0"/>
        <w:adjustRightInd w:val="0"/>
        <w:spacing w:line="360" w:lineRule="auto"/>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第七条  </w:t>
      </w:r>
      <w:r>
        <w:rPr>
          <w:rFonts w:hint="eastAsia" w:ascii="仿宋_GB2312" w:hAnsi="仿宋_GB2312" w:eastAsia="仿宋_GB2312" w:cs="仿宋_GB2312"/>
          <w:kern w:val="0"/>
          <w:sz w:val="32"/>
          <w:szCs w:val="32"/>
        </w:rPr>
        <w:t>特殊学术专长的奖励</w:t>
      </w:r>
    </w:p>
    <w:p>
      <w:pPr>
        <w:autoSpaceDE w:val="0"/>
        <w:autoSpaceDN w:val="0"/>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（一）学生公开发表学术论文，奖励最高不超过2分，由学院专家审核小组根据学生的公开答辩结果确定；</w:t>
      </w:r>
    </w:p>
    <w:p>
      <w:pPr>
        <w:autoSpaceDE w:val="0"/>
        <w:autoSpaceDN w:val="0"/>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（二）国内权威科研竞赛全国决赛获得一等奖及以上的综合成绩奖励6分、二等奖的综合成绩奖励4分、三等奖的综合成绩奖励2分。</w:t>
      </w:r>
    </w:p>
    <w:p>
      <w:pPr>
        <w:autoSpaceDE w:val="0"/>
        <w:autoSpaceDN w:val="0"/>
        <w:adjustRightInd w:val="0"/>
        <w:spacing w:before="292" w:beforeLines="100" w:after="146" w:afterLines="50" w:line="360" w:lineRule="auto"/>
        <w:jc w:val="center"/>
        <w:rPr>
          <w:rFonts w:ascii="黑体" w:hAnsi="黑体" w:eastAsia="黑体" w:cs="黑体"/>
          <w:bCs/>
          <w:kern w:val="0"/>
          <w:sz w:val="32"/>
          <w:szCs w:val="32"/>
        </w:rPr>
      </w:pPr>
      <w:r>
        <w:rPr>
          <w:rFonts w:hint="eastAsia" w:ascii="黑体" w:hAnsi="黑体" w:eastAsia="黑体" w:cs="黑体"/>
          <w:bCs/>
          <w:kern w:val="0"/>
          <w:sz w:val="32"/>
          <w:szCs w:val="32"/>
        </w:rPr>
        <w:t>第五章 名额分配</w:t>
      </w:r>
    </w:p>
    <w:p>
      <w:pPr>
        <w:pStyle w:val="18"/>
        <w:autoSpaceDE w:val="0"/>
        <w:autoSpaceDN w:val="0"/>
        <w:adjustRightInd w:val="0"/>
        <w:spacing w:after="146" w:afterLines="50" w:line="360" w:lineRule="auto"/>
        <w:ind w:firstLine="687" w:firstLineChars="214"/>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覆盖学院全部专业，综合考虑各专业应届本科毕业生数、学科专业以及学院专业特色等因素，对学校分配的推免名额进行二次分配。</w:t>
      </w:r>
    </w:p>
    <w:p>
      <w:pPr>
        <w:autoSpaceDE w:val="0"/>
        <w:autoSpaceDN w:val="0"/>
        <w:adjustRightInd w:val="0"/>
        <w:spacing w:before="292" w:beforeLines="100" w:after="146" w:afterLines="50"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研究生支教团推免名额由学校统一规定。</w:t>
      </w:r>
    </w:p>
    <w:p>
      <w:pPr>
        <w:autoSpaceDE w:val="0"/>
        <w:autoSpaceDN w:val="0"/>
        <w:adjustRightInd w:val="0"/>
        <w:spacing w:before="292" w:beforeLines="100" w:after="146" w:afterLines="50" w:line="360" w:lineRule="auto"/>
        <w:jc w:val="center"/>
        <w:rPr>
          <w:rFonts w:ascii="黑体" w:hAnsi="黑体" w:eastAsia="黑体" w:cs="黑体"/>
          <w:bCs/>
          <w:kern w:val="0"/>
          <w:sz w:val="32"/>
          <w:szCs w:val="32"/>
        </w:rPr>
      </w:pPr>
      <w:r>
        <w:rPr>
          <w:rFonts w:hint="eastAsia" w:ascii="黑体" w:hAnsi="黑体" w:eastAsia="黑体" w:cs="黑体"/>
          <w:bCs/>
          <w:kern w:val="0"/>
          <w:sz w:val="32"/>
          <w:szCs w:val="32"/>
        </w:rPr>
        <w:t>第六章 推荐程序</w:t>
      </w:r>
    </w:p>
    <w:p>
      <w:pPr>
        <w:adjustRightInd w:val="0"/>
        <w:snapToGrid w:val="0"/>
        <w:spacing w:line="560" w:lineRule="exact"/>
        <w:ind w:firstLine="643" w:firstLineChars="200"/>
        <w:rPr>
          <w:rFonts w:ascii="仿宋_GB2312" w:hAnsi="仿宋_GB2312" w:eastAsia="仿宋_GB2312" w:cs="仿宋_GB2312"/>
          <w:kern w:val="0"/>
          <w:sz w:val="32"/>
          <w:szCs w:val="32"/>
          <w:highlight w:val="yellow"/>
        </w:rPr>
      </w:pPr>
      <w:r>
        <w:rPr>
          <w:rFonts w:hint="eastAsia" w:ascii="仿宋_GB2312" w:hAnsi="仿宋_GB2312" w:eastAsia="仿宋_GB2312" w:cs="仿宋_GB2312"/>
          <w:b/>
          <w:kern w:val="0"/>
          <w:sz w:val="32"/>
          <w:szCs w:val="32"/>
        </w:rPr>
        <w:t xml:space="preserve">第十条  </w:t>
      </w:r>
      <w:r>
        <w:rPr>
          <w:rFonts w:hint="eastAsia" w:ascii="仿宋_GB2312" w:hAnsi="仿宋_GB2312" w:eastAsia="仿宋_GB2312" w:cs="仿宋_GB2312"/>
          <w:kern w:val="0"/>
          <w:sz w:val="32"/>
          <w:szCs w:val="32"/>
        </w:rPr>
        <w:t>符合条件的申报者填写《天津科技大学推荐优秀应届本科毕业生免试攻读研究生申请表》，并在规定时间内向学院推免生遴选工作小组递交各类相关证明材料，未按期提交的视为自动放弃。</w:t>
      </w:r>
    </w:p>
    <w:p>
      <w:pPr>
        <w:autoSpaceDE w:val="0"/>
        <w:autoSpaceDN w:val="0"/>
        <w:adjustRightInd w:val="0"/>
        <w:spacing w:line="360" w:lineRule="auto"/>
        <w:ind w:firstLine="555"/>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第十一条  </w:t>
      </w:r>
      <w:r>
        <w:rPr>
          <w:rFonts w:hint="eastAsia" w:ascii="仿宋_GB2312" w:hAnsi="仿宋_GB2312" w:eastAsia="仿宋_GB2312" w:cs="仿宋_GB2312"/>
          <w:kern w:val="0"/>
          <w:sz w:val="32"/>
          <w:szCs w:val="32"/>
        </w:rPr>
        <w:t>学院推免生遴选小组审核申报者的资格及所递交材料的真实性，重点审核科研成果、竞赛奖项等材料。学业综合成绩作为推免工作最基础的遴选指标，不组织遴选推免生的考试（包括笔试、面试等）。如遇到最后推荐名额有两名或多名学生成绩相同，由推免生遴选工作小组投票确定。</w:t>
      </w:r>
    </w:p>
    <w:p>
      <w:pPr>
        <w:autoSpaceDE w:val="0"/>
        <w:autoSpaceDN w:val="0"/>
        <w:adjustRightInd w:val="0"/>
        <w:spacing w:line="360" w:lineRule="auto"/>
        <w:ind w:firstLine="555"/>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第十二条  </w:t>
      </w:r>
      <w:r>
        <w:rPr>
          <w:rFonts w:hint="eastAsia" w:ascii="仿宋_GB2312" w:hAnsi="仿宋_GB2312" w:eastAsia="仿宋_GB2312" w:cs="仿宋_GB2312"/>
          <w:kern w:val="0"/>
          <w:sz w:val="32"/>
          <w:szCs w:val="32"/>
        </w:rPr>
        <w:t>对申请特殊学术专长推免资格学生，学院成立专家审核小组（专家组成员应具有相关学科副教授以上职称，一般不少于5人），对申请推免资格学生的科研创新成果、论文、竞赛获奖奖项及内容进行审核坚定，排除抄袭、造假、冒名及有名无实等情况，并组织相关学生在学院范围内进行公开答辩。答辩全程录音录像，答辩结果公开公示。</w:t>
      </w:r>
    </w:p>
    <w:p>
      <w:pPr>
        <w:autoSpaceDE w:val="0"/>
        <w:autoSpaceDN w:val="0"/>
        <w:adjustRightInd w:val="0"/>
        <w:spacing w:line="360" w:lineRule="auto"/>
        <w:ind w:firstLine="555"/>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第十三条  </w:t>
      </w:r>
      <w:r>
        <w:rPr>
          <w:rFonts w:hint="eastAsia" w:ascii="仿宋_GB2312" w:hAnsi="仿宋_GB2312" w:eastAsia="仿宋_GB2312" w:cs="仿宋_GB2312"/>
          <w:kern w:val="0"/>
          <w:sz w:val="32"/>
          <w:szCs w:val="32"/>
        </w:rPr>
        <w:t>学院推免生遴选工作小组召开会议，依据学业综合成绩分专业确定拟推荐候选人名单及排名，将拟推荐结果在学院网站及公告栏公示不少于3个工作日。因特殊学术专长推荐学生，其有关说明材料和推荐信一并进行公示。未经公示的，推荐结果无效。</w:t>
      </w:r>
    </w:p>
    <w:p>
      <w:pPr>
        <w:autoSpaceDE w:val="0"/>
        <w:autoSpaceDN w:val="0"/>
        <w:adjustRightInd w:val="0"/>
        <w:spacing w:line="360" w:lineRule="auto"/>
        <w:ind w:firstLine="555"/>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第十四条  </w:t>
      </w:r>
      <w:r>
        <w:rPr>
          <w:rFonts w:hint="eastAsia" w:ascii="仿宋_GB2312" w:hAnsi="仿宋_GB2312" w:eastAsia="仿宋_GB2312" w:cs="仿宋_GB2312"/>
          <w:kern w:val="0"/>
          <w:sz w:val="32"/>
          <w:szCs w:val="32"/>
        </w:rPr>
        <w:t>经学院公示结束无异议后，学院将拟推荐候选人名单及排名、拟推荐候选人主要材料上报教务处。</w:t>
      </w:r>
    </w:p>
    <w:p>
      <w:pPr>
        <w:autoSpaceDE w:val="0"/>
        <w:autoSpaceDN w:val="0"/>
        <w:adjustRightInd w:val="0"/>
        <w:spacing w:line="360" w:lineRule="auto"/>
        <w:ind w:firstLine="555"/>
        <w:rPr>
          <w:rFonts w:ascii="仿宋_GB2312" w:hAnsi="仿宋_GB2312" w:eastAsia="仿宋_GB2312" w:cs="仿宋_GB2312"/>
          <w:sz w:val="32"/>
          <w:szCs w:val="32"/>
        </w:rPr>
      </w:pPr>
      <w:r>
        <w:rPr>
          <w:rFonts w:hint="eastAsia" w:ascii="仿宋_GB2312" w:hAnsi="仿宋_GB2312" w:eastAsia="仿宋_GB2312" w:cs="仿宋_GB2312"/>
          <w:b/>
          <w:kern w:val="0"/>
          <w:sz w:val="32"/>
          <w:szCs w:val="32"/>
        </w:rPr>
        <w:t xml:space="preserve">第十五条  </w:t>
      </w:r>
      <w:r>
        <w:rPr>
          <w:rFonts w:hint="eastAsia" w:ascii="仿宋_GB2312" w:hAnsi="仿宋_GB2312" w:eastAsia="仿宋_GB2312" w:cs="仿宋_GB2312"/>
          <w:kern w:val="0"/>
          <w:sz w:val="32"/>
          <w:szCs w:val="32"/>
        </w:rPr>
        <w:t>研究生支教团类遴选工作由教务处总体协调推荐，</w:t>
      </w:r>
      <w:r>
        <w:rPr>
          <w:rFonts w:hint="eastAsia" w:ascii="仿宋_GB2312" w:hAnsi="仿宋_GB2312" w:eastAsia="仿宋_GB2312" w:cs="仿宋_GB2312"/>
          <w:sz w:val="32"/>
          <w:szCs w:val="32"/>
        </w:rPr>
        <w:t>校团委具体负责研究生支教团类遴选工作。</w:t>
      </w:r>
    </w:p>
    <w:p>
      <w:pPr>
        <w:autoSpaceDE w:val="0"/>
        <w:autoSpaceDN w:val="0"/>
        <w:adjustRightInd w:val="0"/>
        <w:spacing w:line="360" w:lineRule="auto"/>
        <w:ind w:firstLine="555"/>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第十六条  </w:t>
      </w:r>
      <w:r>
        <w:rPr>
          <w:rFonts w:hint="eastAsia" w:ascii="仿宋_GB2312" w:hAnsi="仿宋_GB2312" w:eastAsia="仿宋_GB2312" w:cs="仿宋_GB2312"/>
          <w:kern w:val="0"/>
          <w:sz w:val="32"/>
          <w:szCs w:val="32"/>
        </w:rPr>
        <w:t>拟推荐学生材料汇总后，校推免工作领导小组集体研究审定名单，公示10个工作日。</w:t>
      </w:r>
    </w:p>
    <w:p>
      <w:pPr>
        <w:autoSpaceDE w:val="0"/>
        <w:autoSpaceDN w:val="0"/>
        <w:adjustRightInd w:val="0"/>
        <w:spacing w:line="360" w:lineRule="auto"/>
        <w:ind w:firstLine="555"/>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第十七条  </w:t>
      </w:r>
      <w:r>
        <w:rPr>
          <w:rFonts w:hint="eastAsia" w:ascii="仿宋_GB2312" w:hAnsi="仿宋_GB2312" w:eastAsia="仿宋_GB2312" w:cs="仿宋_GB2312"/>
          <w:kern w:val="0"/>
          <w:sz w:val="32"/>
          <w:szCs w:val="32"/>
        </w:rPr>
        <w:t>公示期满无异议后，通过“全国推荐优秀应届本科毕业生免试攻读研究生信息公开暨管理服务系统”将推免生名单报天津市高招办备案。公示期间如有异议，经查属实，取消推荐资格。</w:t>
      </w:r>
    </w:p>
    <w:p>
      <w:pPr>
        <w:autoSpaceDE w:val="0"/>
        <w:autoSpaceDN w:val="0"/>
        <w:adjustRightInd w:val="0"/>
        <w:spacing w:before="292" w:beforeLines="100" w:after="146" w:afterLines="50" w:line="360" w:lineRule="auto"/>
        <w:jc w:val="center"/>
        <w:rPr>
          <w:rFonts w:ascii="黑体" w:hAnsi="黑体" w:eastAsia="黑体" w:cs="黑体"/>
          <w:bCs/>
          <w:kern w:val="0"/>
          <w:sz w:val="32"/>
          <w:szCs w:val="32"/>
        </w:rPr>
      </w:pPr>
      <w:r>
        <w:rPr>
          <w:rFonts w:hint="eastAsia" w:ascii="黑体" w:hAnsi="黑体" w:eastAsia="黑体" w:cs="黑体"/>
          <w:bCs/>
          <w:kern w:val="0"/>
          <w:sz w:val="32"/>
          <w:szCs w:val="32"/>
        </w:rPr>
        <w:t>第七章 学业综合成绩的核算</w:t>
      </w:r>
    </w:p>
    <w:p>
      <w:pPr>
        <w:autoSpaceDE w:val="0"/>
        <w:autoSpaceDN w:val="0"/>
        <w:adjustRightInd w:val="0"/>
        <w:spacing w:line="360" w:lineRule="auto"/>
        <w:ind w:firstLine="555"/>
        <w:rPr>
          <w:rFonts w:ascii="仿宋_GB2312" w:hAnsi="仿宋_GB2312" w:eastAsia="仿宋_GB2312" w:cs="仿宋_GB2312"/>
          <w:sz w:val="32"/>
          <w:szCs w:val="32"/>
        </w:rPr>
      </w:pPr>
      <w:r>
        <w:rPr>
          <w:rFonts w:hint="eastAsia" w:ascii="仿宋_GB2312" w:hAnsi="仿宋_GB2312" w:eastAsia="仿宋_GB2312" w:cs="仿宋_GB2312"/>
          <w:b/>
          <w:snapToGrid w:val="0"/>
          <w:kern w:val="0"/>
          <w:sz w:val="32"/>
          <w:szCs w:val="32"/>
        </w:rPr>
        <w:t>第十</w:t>
      </w:r>
      <w:r>
        <w:rPr>
          <w:rFonts w:hint="eastAsia" w:ascii="仿宋_GB2312" w:hAnsi="仿宋_GB2312" w:eastAsia="仿宋_GB2312" w:cs="仿宋_GB2312"/>
          <w:b/>
          <w:kern w:val="0"/>
          <w:sz w:val="32"/>
          <w:szCs w:val="32"/>
        </w:rPr>
        <w:t>八</w:t>
      </w:r>
      <w:r>
        <w:rPr>
          <w:rFonts w:hint="eastAsia" w:ascii="仿宋_GB2312" w:hAnsi="仿宋_GB2312" w:eastAsia="仿宋_GB2312" w:cs="仿宋_GB2312"/>
          <w:b/>
          <w:snapToGrid w:val="0"/>
          <w:kern w:val="0"/>
          <w:sz w:val="32"/>
          <w:szCs w:val="32"/>
        </w:rPr>
        <w:t xml:space="preserve">条  </w:t>
      </w:r>
      <w:r>
        <w:rPr>
          <w:rFonts w:hint="eastAsia" w:ascii="仿宋_GB2312" w:hAnsi="仿宋_GB2312" w:eastAsia="仿宋_GB2312" w:cs="仿宋_GB2312"/>
          <w:sz w:val="32"/>
          <w:szCs w:val="32"/>
        </w:rPr>
        <w:t>推免学业综合成绩满分为100分，由学习成绩、素质与发展成绩两部分组成，其中：学习成绩占80%，由</w:t>
      </w:r>
      <w:r>
        <w:rPr>
          <w:rFonts w:hint="eastAsia" w:ascii="仿宋_GB2312" w:hAnsi="仿宋_GB2312" w:eastAsia="仿宋_GB2312" w:cs="仿宋_GB2312"/>
          <w:sz w:val="32"/>
          <w:szCs w:val="32"/>
          <w:lang w:eastAsia="zh-CN"/>
        </w:rPr>
        <w:t>推免</w:t>
      </w:r>
      <w:r>
        <w:rPr>
          <w:rFonts w:hint="eastAsia" w:ascii="仿宋_GB2312" w:hAnsi="仿宋_GB2312" w:eastAsia="仿宋_GB2312" w:cs="仿宋_GB2312"/>
          <w:sz w:val="32"/>
          <w:szCs w:val="32"/>
        </w:rPr>
        <w:t>平均学分绩点对应进行百分制折算；素质与发展成绩占20%，具体评价标准如下。</w:t>
      </w:r>
    </w:p>
    <w:p>
      <w:pPr>
        <w:autoSpaceDE w:val="0"/>
        <w:autoSpaceDN w:val="0"/>
        <w:adjustRightInd w:val="0"/>
        <w:spacing w:line="360" w:lineRule="auto"/>
        <w:ind w:firstLine="555"/>
        <w:rPr>
          <w:rFonts w:ascii="仿宋_GB2312" w:hAnsi="仿宋_GB2312" w:eastAsia="仿宋_GB2312" w:cs="仿宋_GB2312"/>
          <w:sz w:val="32"/>
          <w:szCs w:val="32"/>
        </w:rPr>
      </w:pPr>
    </w:p>
    <w:tbl>
      <w:tblPr>
        <w:tblStyle w:val="11"/>
        <w:tblW w:w="9731"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155"/>
        <w:gridCol w:w="1713"/>
        <w:gridCol w:w="1113"/>
        <w:gridCol w:w="1224"/>
        <w:gridCol w:w="1044"/>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095" w:type="dxa"/>
            <w:vAlign w:val="center"/>
          </w:tcPr>
          <w:p>
            <w:pPr>
              <w:autoSpaceDE w:val="0"/>
              <w:autoSpaceDN w:val="0"/>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指标体系</w:t>
            </w:r>
          </w:p>
        </w:tc>
        <w:tc>
          <w:tcPr>
            <w:tcW w:w="2868" w:type="dxa"/>
            <w:gridSpan w:val="2"/>
            <w:vAlign w:val="center"/>
          </w:tcPr>
          <w:p>
            <w:pPr>
              <w:autoSpaceDE w:val="0"/>
              <w:autoSpaceDN w:val="0"/>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赋分项</w:t>
            </w:r>
          </w:p>
        </w:tc>
        <w:tc>
          <w:tcPr>
            <w:tcW w:w="2337" w:type="dxa"/>
            <w:gridSpan w:val="2"/>
            <w:vAlign w:val="center"/>
          </w:tcPr>
          <w:p>
            <w:pPr>
              <w:autoSpaceDE w:val="0"/>
              <w:autoSpaceDN w:val="0"/>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赋分细则</w:t>
            </w:r>
          </w:p>
        </w:tc>
        <w:tc>
          <w:tcPr>
            <w:tcW w:w="1044" w:type="dxa"/>
            <w:vAlign w:val="center"/>
          </w:tcPr>
          <w:p>
            <w:pPr>
              <w:autoSpaceDE w:val="0"/>
              <w:autoSpaceDN w:val="0"/>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分值</w:t>
            </w:r>
          </w:p>
        </w:tc>
        <w:tc>
          <w:tcPr>
            <w:tcW w:w="2387" w:type="dxa"/>
            <w:vAlign w:val="center"/>
          </w:tcPr>
          <w:p>
            <w:pPr>
              <w:autoSpaceDE w:val="0"/>
              <w:autoSpaceDN w:val="0"/>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095" w:type="dxa"/>
            <w:vMerge w:val="restart"/>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思想政治表现</w:t>
            </w:r>
          </w:p>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（20分）</w:t>
            </w:r>
          </w:p>
        </w:tc>
        <w:tc>
          <w:tcPr>
            <w:tcW w:w="2868" w:type="dxa"/>
            <w:gridSpan w:val="2"/>
            <w:vMerge w:val="restart"/>
            <w:vAlign w:val="center"/>
          </w:tcPr>
          <w:p>
            <w:pPr>
              <w:autoSpaceDE w:val="0"/>
              <w:autoSpaceDN w:val="0"/>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思想上上积极要求进步，积极参加各类思想政治教育活动。</w:t>
            </w:r>
          </w:p>
        </w:tc>
        <w:tc>
          <w:tcPr>
            <w:tcW w:w="2337" w:type="dxa"/>
            <w:gridSpan w:val="2"/>
            <w:vAlign w:val="center"/>
          </w:tcPr>
          <w:p>
            <w:pPr>
              <w:autoSpaceDE w:val="0"/>
              <w:autoSpaceDN w:val="0"/>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递交入党申请书</w:t>
            </w:r>
          </w:p>
        </w:tc>
        <w:tc>
          <w:tcPr>
            <w:tcW w:w="1044"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1分</w:t>
            </w:r>
          </w:p>
        </w:tc>
        <w:tc>
          <w:tcPr>
            <w:tcW w:w="2387" w:type="dxa"/>
            <w:vAlign w:val="center"/>
          </w:tcPr>
          <w:p>
            <w:pPr>
              <w:autoSpaceDE w:val="0"/>
              <w:autoSpaceDN w:val="0"/>
              <w:adjustRightInd w:val="0"/>
              <w:snapToGrid w:val="0"/>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09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2868" w:type="dxa"/>
            <w:gridSpan w:val="2"/>
            <w:vMerge w:val="continue"/>
            <w:vAlign w:val="center"/>
          </w:tcPr>
          <w:p>
            <w:pPr>
              <w:autoSpaceDE w:val="0"/>
              <w:autoSpaceDN w:val="0"/>
              <w:adjustRightInd w:val="0"/>
              <w:snapToGrid w:val="0"/>
              <w:rPr>
                <w:rFonts w:ascii="仿宋_GB2312" w:hAnsi="仿宋_GB2312" w:eastAsia="仿宋_GB2312" w:cs="仿宋_GB2312"/>
                <w:kern w:val="0"/>
                <w:sz w:val="24"/>
                <w:szCs w:val="24"/>
              </w:rPr>
            </w:pPr>
          </w:p>
        </w:tc>
        <w:tc>
          <w:tcPr>
            <w:tcW w:w="2337" w:type="dxa"/>
            <w:gridSpan w:val="2"/>
            <w:vAlign w:val="center"/>
          </w:tcPr>
          <w:p>
            <w:pPr>
              <w:autoSpaceDE w:val="0"/>
              <w:autoSpaceDN w:val="0"/>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参加思想政治教育活动证明</w:t>
            </w:r>
          </w:p>
        </w:tc>
        <w:tc>
          <w:tcPr>
            <w:tcW w:w="1044"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每次</w:t>
            </w:r>
          </w:p>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1分</w:t>
            </w:r>
          </w:p>
        </w:tc>
        <w:tc>
          <w:tcPr>
            <w:tcW w:w="2387"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上限3分</w:t>
            </w:r>
          </w:p>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活动不重复计分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09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2868" w:type="dxa"/>
            <w:gridSpan w:val="2"/>
            <w:vMerge w:val="restart"/>
            <w:vAlign w:val="center"/>
          </w:tcPr>
          <w:p>
            <w:pPr>
              <w:autoSpaceDE w:val="0"/>
              <w:autoSpaceDN w:val="0"/>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优秀学生、优秀学生干部等。</w:t>
            </w:r>
          </w:p>
        </w:tc>
        <w:tc>
          <w:tcPr>
            <w:tcW w:w="2337" w:type="dxa"/>
            <w:gridSpan w:val="2"/>
            <w:vAlign w:val="center"/>
          </w:tcPr>
          <w:p>
            <w:pPr>
              <w:autoSpaceDE w:val="0"/>
              <w:autoSpaceDN w:val="0"/>
              <w:adjustRightIn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2"/>
                <w:szCs w:val="22"/>
              </w:rPr>
              <w:t>国家级</w:t>
            </w:r>
          </w:p>
        </w:tc>
        <w:tc>
          <w:tcPr>
            <w:tcW w:w="1044" w:type="dxa"/>
            <w:vAlign w:val="center"/>
          </w:tcPr>
          <w:p>
            <w:pPr>
              <w:autoSpaceDE w:val="0"/>
              <w:autoSpaceDN w:val="0"/>
              <w:adjustRightIn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5分</w:t>
            </w:r>
          </w:p>
        </w:tc>
        <w:tc>
          <w:tcPr>
            <w:tcW w:w="2387" w:type="dxa"/>
            <w:vMerge w:val="restart"/>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上限5分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09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2868" w:type="dxa"/>
            <w:gridSpan w:val="2"/>
            <w:vMerge w:val="continue"/>
          </w:tcPr>
          <w:p>
            <w:pPr>
              <w:autoSpaceDE w:val="0"/>
              <w:autoSpaceDN w:val="0"/>
              <w:adjustRightInd w:val="0"/>
              <w:spacing w:line="360" w:lineRule="auto"/>
              <w:rPr>
                <w:rFonts w:ascii="仿宋_GB2312" w:hAnsi="仿宋_GB2312" w:eastAsia="仿宋_GB2312" w:cs="仿宋_GB2312"/>
                <w:kern w:val="0"/>
                <w:sz w:val="24"/>
                <w:szCs w:val="24"/>
              </w:rPr>
            </w:pPr>
          </w:p>
        </w:tc>
        <w:tc>
          <w:tcPr>
            <w:tcW w:w="2337" w:type="dxa"/>
            <w:gridSpan w:val="2"/>
            <w:vAlign w:val="center"/>
          </w:tcPr>
          <w:p>
            <w:pPr>
              <w:autoSpaceDE w:val="0"/>
              <w:autoSpaceDN w:val="0"/>
              <w:adjustRightIn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2"/>
                <w:szCs w:val="22"/>
              </w:rPr>
              <w:t>省、部级</w:t>
            </w:r>
          </w:p>
        </w:tc>
        <w:tc>
          <w:tcPr>
            <w:tcW w:w="1044" w:type="dxa"/>
            <w:vAlign w:val="center"/>
          </w:tcPr>
          <w:p>
            <w:pPr>
              <w:autoSpaceDE w:val="0"/>
              <w:autoSpaceDN w:val="0"/>
              <w:adjustRightIn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3分</w:t>
            </w:r>
          </w:p>
        </w:tc>
        <w:tc>
          <w:tcPr>
            <w:tcW w:w="2387"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09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2868" w:type="dxa"/>
            <w:gridSpan w:val="2"/>
            <w:vMerge w:val="continue"/>
          </w:tcPr>
          <w:p>
            <w:pPr>
              <w:autoSpaceDE w:val="0"/>
              <w:autoSpaceDN w:val="0"/>
              <w:adjustRightInd w:val="0"/>
              <w:spacing w:line="360" w:lineRule="auto"/>
              <w:rPr>
                <w:rFonts w:ascii="仿宋_GB2312" w:hAnsi="仿宋_GB2312" w:eastAsia="仿宋_GB2312" w:cs="仿宋_GB2312"/>
                <w:kern w:val="0"/>
                <w:sz w:val="24"/>
                <w:szCs w:val="24"/>
              </w:rPr>
            </w:pPr>
          </w:p>
        </w:tc>
        <w:tc>
          <w:tcPr>
            <w:tcW w:w="2337" w:type="dxa"/>
            <w:gridSpan w:val="2"/>
            <w:vAlign w:val="center"/>
          </w:tcPr>
          <w:p>
            <w:pPr>
              <w:autoSpaceDE w:val="0"/>
              <w:autoSpaceDN w:val="0"/>
              <w:adjustRightIn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2"/>
                <w:szCs w:val="22"/>
              </w:rPr>
              <w:t>校级</w:t>
            </w:r>
          </w:p>
        </w:tc>
        <w:tc>
          <w:tcPr>
            <w:tcW w:w="1044" w:type="dxa"/>
            <w:vAlign w:val="center"/>
          </w:tcPr>
          <w:p>
            <w:pPr>
              <w:autoSpaceDE w:val="0"/>
              <w:autoSpaceDN w:val="0"/>
              <w:adjustRightIn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1分</w:t>
            </w:r>
          </w:p>
        </w:tc>
        <w:tc>
          <w:tcPr>
            <w:tcW w:w="2387"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09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2868" w:type="dxa"/>
            <w:gridSpan w:val="2"/>
            <w:vAlign w:val="center"/>
          </w:tcPr>
          <w:p>
            <w:pPr>
              <w:autoSpaceDE w:val="0"/>
              <w:autoSpaceDN w:val="0"/>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自觉维护集体荣誉，积极参各类集体活动。</w:t>
            </w:r>
          </w:p>
        </w:tc>
        <w:tc>
          <w:tcPr>
            <w:tcW w:w="2337" w:type="dxa"/>
            <w:gridSpan w:val="2"/>
            <w:vAlign w:val="center"/>
          </w:tcPr>
          <w:p>
            <w:pPr>
              <w:autoSpaceDE w:val="0"/>
              <w:autoSpaceDN w:val="0"/>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参加集体活动证明</w:t>
            </w:r>
          </w:p>
        </w:tc>
        <w:tc>
          <w:tcPr>
            <w:tcW w:w="1044"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每次</w:t>
            </w:r>
          </w:p>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1分</w:t>
            </w:r>
          </w:p>
        </w:tc>
        <w:tc>
          <w:tcPr>
            <w:tcW w:w="2387"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上限3分</w:t>
            </w:r>
          </w:p>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活动不重复计分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09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2868" w:type="dxa"/>
            <w:gridSpan w:val="2"/>
            <w:vMerge w:val="restart"/>
            <w:vAlign w:val="center"/>
          </w:tcPr>
          <w:p>
            <w:pPr>
              <w:autoSpaceDE w:val="0"/>
              <w:autoSpaceDN w:val="0"/>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积极参加社会工作，认真负责，敬业奉献，能较好完成各项工作任务。</w:t>
            </w:r>
          </w:p>
        </w:tc>
        <w:tc>
          <w:tcPr>
            <w:tcW w:w="2337" w:type="dxa"/>
            <w:gridSpan w:val="2"/>
            <w:vAlign w:val="center"/>
          </w:tcPr>
          <w:p>
            <w:pPr>
              <w:autoSpaceDE w:val="0"/>
              <w:autoSpaceDN w:val="0"/>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班长、团支书、党支部书记、学生会主席团成员、院团委副书记</w:t>
            </w:r>
          </w:p>
        </w:tc>
        <w:tc>
          <w:tcPr>
            <w:tcW w:w="1044"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每项</w:t>
            </w:r>
          </w:p>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1分</w:t>
            </w:r>
          </w:p>
        </w:tc>
        <w:tc>
          <w:tcPr>
            <w:tcW w:w="2387"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上限2分</w:t>
            </w:r>
          </w:p>
          <w:p>
            <w:pPr>
              <w:autoSpaceDE w:val="0"/>
              <w:autoSpaceDN w:val="0"/>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连续工作时间超过一学年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109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2868" w:type="dxa"/>
            <w:gridSpan w:val="2"/>
            <w:vMerge w:val="continue"/>
            <w:vAlign w:val="center"/>
          </w:tcPr>
          <w:p>
            <w:pPr>
              <w:autoSpaceDE w:val="0"/>
              <w:autoSpaceDN w:val="0"/>
              <w:adjustRightInd w:val="0"/>
              <w:snapToGrid w:val="0"/>
              <w:rPr>
                <w:rFonts w:ascii="仿宋_GB2312" w:hAnsi="仿宋_GB2312" w:eastAsia="仿宋_GB2312" w:cs="仿宋_GB2312"/>
                <w:kern w:val="0"/>
                <w:sz w:val="24"/>
                <w:szCs w:val="24"/>
              </w:rPr>
            </w:pPr>
          </w:p>
        </w:tc>
        <w:tc>
          <w:tcPr>
            <w:tcW w:w="2337" w:type="dxa"/>
            <w:gridSpan w:val="2"/>
            <w:vAlign w:val="center"/>
          </w:tcPr>
          <w:p>
            <w:pPr>
              <w:autoSpaceDE w:val="0"/>
              <w:autoSpaceDN w:val="0"/>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其他学生干部（含网格员、宿舍长等）</w:t>
            </w:r>
          </w:p>
        </w:tc>
        <w:tc>
          <w:tcPr>
            <w:tcW w:w="1044"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每项0.5分</w:t>
            </w:r>
          </w:p>
        </w:tc>
        <w:tc>
          <w:tcPr>
            <w:tcW w:w="2387"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上限1分</w:t>
            </w:r>
          </w:p>
          <w:p>
            <w:pPr>
              <w:autoSpaceDE w:val="0"/>
              <w:autoSpaceDN w:val="0"/>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连续工作时间超过一学年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9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2868" w:type="dxa"/>
            <w:gridSpan w:val="2"/>
            <w:vMerge w:val="restart"/>
            <w:vAlign w:val="center"/>
          </w:tcPr>
          <w:p>
            <w:pPr>
              <w:autoSpaceDE w:val="0"/>
              <w:autoSpaceDN w:val="0"/>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应征入伍、捐献造血干细胞、见义勇为、义务献血等突出贡献 。</w:t>
            </w:r>
          </w:p>
        </w:tc>
        <w:tc>
          <w:tcPr>
            <w:tcW w:w="2337" w:type="dxa"/>
            <w:gridSpan w:val="2"/>
            <w:vAlign w:val="center"/>
          </w:tcPr>
          <w:p>
            <w:pPr>
              <w:autoSpaceDE w:val="0"/>
              <w:autoSpaceDN w:val="0"/>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应征入伍服务期满</w:t>
            </w:r>
          </w:p>
        </w:tc>
        <w:tc>
          <w:tcPr>
            <w:tcW w:w="1044"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2分</w:t>
            </w:r>
          </w:p>
        </w:tc>
        <w:tc>
          <w:tcPr>
            <w:tcW w:w="2387" w:type="dxa"/>
            <w:vAlign w:val="center"/>
          </w:tcPr>
          <w:p>
            <w:pPr>
              <w:autoSpaceDE w:val="0"/>
              <w:autoSpaceDN w:val="0"/>
              <w:adjustRightInd w:val="0"/>
              <w:snapToGrid w:val="0"/>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09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2868" w:type="dxa"/>
            <w:gridSpan w:val="2"/>
            <w:vMerge w:val="continue"/>
            <w:vAlign w:val="center"/>
          </w:tcPr>
          <w:p>
            <w:pPr>
              <w:autoSpaceDE w:val="0"/>
              <w:autoSpaceDN w:val="0"/>
              <w:adjustRightInd w:val="0"/>
              <w:snapToGrid w:val="0"/>
              <w:rPr>
                <w:rFonts w:ascii="仿宋_GB2312" w:hAnsi="仿宋_GB2312" w:eastAsia="仿宋_GB2312" w:cs="仿宋_GB2312"/>
                <w:kern w:val="0"/>
                <w:sz w:val="24"/>
                <w:szCs w:val="24"/>
              </w:rPr>
            </w:pPr>
          </w:p>
        </w:tc>
        <w:tc>
          <w:tcPr>
            <w:tcW w:w="2337" w:type="dxa"/>
            <w:gridSpan w:val="2"/>
            <w:vAlign w:val="center"/>
          </w:tcPr>
          <w:p>
            <w:pPr>
              <w:autoSpaceDE w:val="0"/>
              <w:autoSpaceDN w:val="0"/>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捐献造血干细胞，见义勇为</w:t>
            </w:r>
          </w:p>
        </w:tc>
        <w:tc>
          <w:tcPr>
            <w:tcW w:w="1044"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2分</w:t>
            </w:r>
          </w:p>
        </w:tc>
        <w:tc>
          <w:tcPr>
            <w:tcW w:w="2387"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上限2分</w:t>
            </w:r>
          </w:p>
          <w:p>
            <w:pPr>
              <w:autoSpaceDE w:val="0"/>
              <w:autoSpaceDN w:val="0"/>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仅干细胞血样入库不计分；见义勇为有相关证书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09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2868" w:type="dxa"/>
            <w:gridSpan w:val="2"/>
            <w:vMerge w:val="continue"/>
            <w:vAlign w:val="center"/>
          </w:tcPr>
          <w:p>
            <w:pPr>
              <w:autoSpaceDE w:val="0"/>
              <w:autoSpaceDN w:val="0"/>
              <w:adjustRightInd w:val="0"/>
              <w:snapToGrid w:val="0"/>
              <w:rPr>
                <w:rFonts w:ascii="仿宋_GB2312" w:hAnsi="仿宋_GB2312" w:eastAsia="仿宋_GB2312" w:cs="仿宋_GB2312"/>
                <w:kern w:val="0"/>
                <w:sz w:val="24"/>
                <w:szCs w:val="24"/>
              </w:rPr>
            </w:pPr>
          </w:p>
        </w:tc>
        <w:tc>
          <w:tcPr>
            <w:tcW w:w="2337" w:type="dxa"/>
            <w:gridSpan w:val="2"/>
            <w:vAlign w:val="center"/>
          </w:tcPr>
          <w:p>
            <w:pPr>
              <w:autoSpaceDE w:val="0"/>
              <w:autoSpaceDN w:val="0"/>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义务献血</w:t>
            </w:r>
          </w:p>
        </w:tc>
        <w:tc>
          <w:tcPr>
            <w:tcW w:w="1044"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1分</w:t>
            </w:r>
          </w:p>
        </w:tc>
        <w:tc>
          <w:tcPr>
            <w:tcW w:w="2387"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上限1分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095" w:type="dxa"/>
            <w:vAlign w:val="center"/>
          </w:tcPr>
          <w:p>
            <w:pPr>
              <w:autoSpaceDE w:val="0"/>
              <w:autoSpaceDN w:val="0"/>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指标</w:t>
            </w:r>
          </w:p>
          <w:p>
            <w:pPr>
              <w:autoSpaceDE w:val="0"/>
              <w:autoSpaceDN w:val="0"/>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体系</w:t>
            </w:r>
          </w:p>
        </w:tc>
        <w:tc>
          <w:tcPr>
            <w:tcW w:w="1155" w:type="dxa"/>
            <w:vAlign w:val="center"/>
          </w:tcPr>
          <w:p>
            <w:pPr>
              <w:autoSpaceDE w:val="0"/>
              <w:autoSpaceDN w:val="0"/>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赋分项</w:t>
            </w:r>
          </w:p>
        </w:tc>
        <w:tc>
          <w:tcPr>
            <w:tcW w:w="2826" w:type="dxa"/>
            <w:gridSpan w:val="2"/>
            <w:vAlign w:val="center"/>
          </w:tcPr>
          <w:p>
            <w:pPr>
              <w:autoSpaceDE w:val="0"/>
              <w:autoSpaceDN w:val="0"/>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赋分细则</w:t>
            </w:r>
          </w:p>
        </w:tc>
        <w:tc>
          <w:tcPr>
            <w:tcW w:w="2268" w:type="dxa"/>
            <w:gridSpan w:val="2"/>
            <w:vAlign w:val="center"/>
          </w:tcPr>
          <w:p>
            <w:pPr>
              <w:autoSpaceDE w:val="0"/>
              <w:autoSpaceDN w:val="0"/>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分值</w:t>
            </w:r>
          </w:p>
        </w:tc>
        <w:tc>
          <w:tcPr>
            <w:tcW w:w="2387" w:type="dxa"/>
            <w:vAlign w:val="center"/>
          </w:tcPr>
          <w:p>
            <w:pPr>
              <w:autoSpaceDE w:val="0"/>
              <w:autoSpaceDN w:val="0"/>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1095" w:type="dxa"/>
            <w:vMerge w:val="restart"/>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科研能力与英语水平（35分）</w:t>
            </w:r>
          </w:p>
        </w:tc>
        <w:tc>
          <w:tcPr>
            <w:tcW w:w="1155" w:type="dxa"/>
            <w:vMerge w:val="restart"/>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学术</w:t>
            </w:r>
          </w:p>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论文</w:t>
            </w:r>
          </w:p>
        </w:tc>
        <w:tc>
          <w:tcPr>
            <w:tcW w:w="2826" w:type="dxa"/>
            <w:gridSpan w:val="2"/>
            <w:vAlign w:val="center"/>
          </w:tcPr>
          <w:p>
            <w:pPr>
              <w:autoSpaceDE w:val="0"/>
              <w:autoSpaceDN w:val="0"/>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SCI检索的期刊论文</w:t>
            </w:r>
          </w:p>
        </w:tc>
        <w:tc>
          <w:tcPr>
            <w:tcW w:w="2268" w:type="dxa"/>
            <w:gridSpan w:val="2"/>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5分/篇</w:t>
            </w:r>
          </w:p>
        </w:tc>
        <w:tc>
          <w:tcPr>
            <w:tcW w:w="2387" w:type="dxa"/>
            <w:vMerge w:val="restart"/>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上限15分</w:t>
            </w:r>
          </w:p>
          <w:p>
            <w:pPr>
              <w:autoSpaceDE w:val="0"/>
              <w:autoSpaceDN w:val="0"/>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申请特殊学术专长业绩不能重复计分；发表科技学术论文的，所有论文加分应有出版物或录用通知证明，不同论文按篇数累计加分；论文相应分值只计算除指导老师之外的排名前三的学生，分值计算方法：完成人所得分值根据排名顺序依次递减：</w:t>
            </w:r>
          </w:p>
          <w:p>
            <w:pPr>
              <w:autoSpaceDE w:val="0"/>
              <w:autoSpaceDN w:val="0"/>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rPr>
              <w:drawing>
                <wp:inline distT="0" distB="0" distL="114300" distR="114300">
                  <wp:extent cx="1333500" cy="472440"/>
                  <wp:effectExtent l="0" t="0" r="0" b="3810"/>
                  <wp:docPr id="1" name="图片 3" descr="计算公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计算公式"/>
                          <pic:cNvPicPr>
                            <a:picLocks noChangeAspect="1"/>
                          </pic:cNvPicPr>
                        </pic:nvPicPr>
                        <pic:blipFill>
                          <a:blip r:embed="rId6" cstate="print"/>
                          <a:stretch>
                            <a:fillRect/>
                          </a:stretch>
                        </pic:blipFill>
                        <pic:spPr>
                          <a:xfrm>
                            <a:off x="0" y="0"/>
                            <a:ext cx="1339207" cy="474753"/>
                          </a:xfrm>
                          <a:prstGeom prst="rect">
                            <a:avLst/>
                          </a:prstGeom>
                          <a:noFill/>
                          <a:ln>
                            <a:noFill/>
                          </a:ln>
                        </pic:spPr>
                      </pic:pic>
                    </a:graphicData>
                  </a:graphic>
                </wp:inline>
              </w:drawing>
            </w:r>
            <w:r>
              <w:rPr>
                <w:rFonts w:hint="eastAsia" w:ascii="仿宋_GB2312" w:hAnsi="仿宋_GB2312" w:eastAsia="仿宋_GB2312" w:cs="仿宋_GB2312"/>
                <w:kern w:val="0"/>
                <w:szCs w:val="21"/>
              </w:rPr>
              <w:t>其中：S为申请人排名，N为总完成人数，P为该项</w:t>
            </w:r>
            <w:r>
              <w:rPr>
                <w:rFonts w:ascii="仿宋_GB2312" w:hAnsi="仿宋_GB2312" w:eastAsia="仿宋_GB2312" w:cs="仿宋_GB2312"/>
                <w:kern w:val="0"/>
                <w:szCs w:val="21"/>
              </w:rPr>
              <w:t>总</w:t>
            </w:r>
            <w:r>
              <w:rPr>
                <w:rFonts w:hint="eastAsia" w:ascii="仿宋_GB2312" w:hAnsi="仿宋_GB2312" w:eastAsia="仿宋_GB2312" w:cs="仿宋_GB2312"/>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09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115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2826" w:type="dxa"/>
            <w:gridSpan w:val="2"/>
            <w:shd w:val="clear" w:color="auto" w:fill="auto"/>
            <w:vAlign w:val="center"/>
          </w:tcPr>
          <w:p>
            <w:pPr>
              <w:autoSpaceDE w:val="0"/>
              <w:autoSpaceDN w:val="0"/>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EI检索的期刊论文（包括《中国造纸》《中国造纸学报》《包装工程》《数字印刷》）</w:t>
            </w:r>
          </w:p>
        </w:tc>
        <w:tc>
          <w:tcPr>
            <w:tcW w:w="2268" w:type="dxa"/>
            <w:gridSpan w:val="2"/>
            <w:shd w:val="clear" w:color="auto" w:fill="auto"/>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2.5分/篇</w:t>
            </w:r>
          </w:p>
        </w:tc>
        <w:tc>
          <w:tcPr>
            <w:tcW w:w="2387"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09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115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2826" w:type="dxa"/>
            <w:gridSpan w:val="2"/>
            <w:shd w:val="clear" w:color="auto" w:fill="auto"/>
            <w:vAlign w:val="center"/>
          </w:tcPr>
          <w:p>
            <w:pPr>
              <w:autoSpaceDE w:val="0"/>
              <w:autoSpaceDN w:val="0"/>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全国核心期刊（《北大中文核心期刊目录总览》为依据，《天津科技大学学报》按核心期刊）</w:t>
            </w:r>
          </w:p>
        </w:tc>
        <w:tc>
          <w:tcPr>
            <w:tcW w:w="2268" w:type="dxa"/>
            <w:gridSpan w:val="2"/>
            <w:shd w:val="clear" w:color="auto" w:fill="auto"/>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2分/篇</w:t>
            </w:r>
          </w:p>
        </w:tc>
        <w:tc>
          <w:tcPr>
            <w:tcW w:w="2387"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09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115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2826" w:type="dxa"/>
            <w:gridSpan w:val="2"/>
            <w:shd w:val="clear" w:color="auto" w:fill="auto"/>
            <w:vAlign w:val="center"/>
          </w:tcPr>
          <w:p>
            <w:pPr>
              <w:autoSpaceDE w:val="0"/>
              <w:autoSpaceDN w:val="0"/>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普通学术刊物（须有CN和ISSN编号）</w:t>
            </w:r>
          </w:p>
        </w:tc>
        <w:tc>
          <w:tcPr>
            <w:tcW w:w="2268" w:type="dxa"/>
            <w:gridSpan w:val="2"/>
            <w:shd w:val="clear" w:color="auto" w:fill="auto"/>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1.5分/篇</w:t>
            </w:r>
          </w:p>
        </w:tc>
        <w:tc>
          <w:tcPr>
            <w:tcW w:w="2387"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09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115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2826" w:type="dxa"/>
            <w:gridSpan w:val="2"/>
            <w:shd w:val="clear" w:color="auto" w:fill="auto"/>
            <w:vAlign w:val="center"/>
          </w:tcPr>
          <w:p>
            <w:pPr>
              <w:autoSpaceDE w:val="0"/>
              <w:autoSpaceDN w:val="0"/>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国际会议收录论文（其中被SCI收录的每篇3分，被EI收录的每篇2分）</w:t>
            </w:r>
          </w:p>
        </w:tc>
        <w:tc>
          <w:tcPr>
            <w:tcW w:w="2268" w:type="dxa"/>
            <w:gridSpan w:val="2"/>
            <w:shd w:val="clear" w:color="auto" w:fill="auto"/>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1.5分/篇</w:t>
            </w:r>
          </w:p>
        </w:tc>
        <w:tc>
          <w:tcPr>
            <w:tcW w:w="2387"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9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115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2826" w:type="dxa"/>
            <w:gridSpan w:val="2"/>
            <w:shd w:val="clear" w:color="auto" w:fill="auto"/>
            <w:vAlign w:val="center"/>
          </w:tcPr>
          <w:p>
            <w:pPr>
              <w:autoSpaceDE w:val="0"/>
              <w:autoSpaceDN w:val="0"/>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一般会议收录论文（其中被SCI收录的每篇3分，被EI收录的每篇2分)</w:t>
            </w:r>
          </w:p>
        </w:tc>
        <w:tc>
          <w:tcPr>
            <w:tcW w:w="2268" w:type="dxa"/>
            <w:gridSpan w:val="2"/>
            <w:shd w:val="clear" w:color="auto" w:fill="auto"/>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1分/篇</w:t>
            </w:r>
          </w:p>
        </w:tc>
        <w:tc>
          <w:tcPr>
            <w:tcW w:w="2387"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9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1155"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学术</w:t>
            </w:r>
          </w:p>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著作</w:t>
            </w:r>
          </w:p>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（含教材）</w:t>
            </w:r>
          </w:p>
        </w:tc>
        <w:tc>
          <w:tcPr>
            <w:tcW w:w="2826" w:type="dxa"/>
            <w:gridSpan w:val="2"/>
            <w:vAlign w:val="center"/>
          </w:tcPr>
          <w:p>
            <w:pPr>
              <w:autoSpaceDE w:val="0"/>
              <w:autoSpaceDN w:val="0"/>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参与著作的编写并正式出版，且在著作前言部分有体现对著作贡献的学生姓名。</w:t>
            </w:r>
          </w:p>
        </w:tc>
        <w:tc>
          <w:tcPr>
            <w:tcW w:w="2268" w:type="dxa"/>
            <w:gridSpan w:val="2"/>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3分/本</w:t>
            </w:r>
          </w:p>
        </w:tc>
        <w:tc>
          <w:tcPr>
            <w:tcW w:w="2387"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上限</w:t>
            </w: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9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1155" w:type="dxa"/>
            <w:vMerge w:val="restart"/>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专利</w:t>
            </w:r>
          </w:p>
        </w:tc>
        <w:tc>
          <w:tcPr>
            <w:tcW w:w="2826" w:type="dxa"/>
            <w:gridSpan w:val="2"/>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发明专利</w:t>
            </w:r>
          </w:p>
        </w:tc>
        <w:tc>
          <w:tcPr>
            <w:tcW w:w="2268" w:type="dxa"/>
            <w:gridSpan w:val="2"/>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5分/项</w:t>
            </w:r>
          </w:p>
        </w:tc>
        <w:tc>
          <w:tcPr>
            <w:tcW w:w="2387" w:type="dxa"/>
            <w:vMerge w:val="restart"/>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上限10分</w:t>
            </w:r>
          </w:p>
          <w:p>
            <w:pPr>
              <w:autoSpaceDE w:val="0"/>
              <w:autoSpaceDN w:val="0"/>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Cs w:val="21"/>
              </w:rPr>
              <w:t>发明专利必须有专利申请号且到达公开阶段以上；实用新型、外观专利和软件著作权必须获得授权；多作者赋分参考论文赋分方法。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9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115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2826" w:type="dxa"/>
            <w:gridSpan w:val="2"/>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实用新型、外观专利</w:t>
            </w:r>
          </w:p>
        </w:tc>
        <w:tc>
          <w:tcPr>
            <w:tcW w:w="2268" w:type="dxa"/>
            <w:gridSpan w:val="2"/>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1分/项</w:t>
            </w:r>
          </w:p>
        </w:tc>
        <w:tc>
          <w:tcPr>
            <w:tcW w:w="2387"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9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115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2826" w:type="dxa"/>
            <w:gridSpan w:val="2"/>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软件著作权</w:t>
            </w:r>
          </w:p>
        </w:tc>
        <w:tc>
          <w:tcPr>
            <w:tcW w:w="2268" w:type="dxa"/>
            <w:gridSpan w:val="2"/>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1分/项</w:t>
            </w:r>
          </w:p>
        </w:tc>
        <w:tc>
          <w:tcPr>
            <w:tcW w:w="2387"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9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1155" w:type="dxa"/>
            <w:vMerge w:val="restart"/>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学术类</w:t>
            </w:r>
            <w:r>
              <w:rPr>
                <w:rFonts w:ascii="仿宋_GB2312" w:hAnsi="仿宋_GB2312" w:eastAsia="仿宋_GB2312" w:cs="仿宋_GB2312"/>
                <w:kern w:val="0"/>
                <w:sz w:val="24"/>
                <w:szCs w:val="24"/>
              </w:rPr>
              <w:t>创新实践项目</w:t>
            </w:r>
          </w:p>
        </w:tc>
        <w:tc>
          <w:tcPr>
            <w:tcW w:w="2826" w:type="dxa"/>
            <w:gridSpan w:val="2"/>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大学生创新创业计划项目</w:t>
            </w:r>
          </w:p>
        </w:tc>
        <w:tc>
          <w:tcPr>
            <w:tcW w:w="2268" w:type="dxa"/>
            <w:gridSpan w:val="2"/>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国家级</w:t>
            </w:r>
            <w:r>
              <w:rPr>
                <w:rFonts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分/项</w:t>
            </w:r>
          </w:p>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天津市</w:t>
            </w:r>
            <w:r>
              <w:rPr>
                <w:rFonts w:ascii="仿宋_GB2312" w:hAnsi="仿宋_GB2312" w:eastAsia="仿宋_GB2312" w:cs="仿宋_GB2312"/>
                <w:kern w:val="0"/>
                <w:sz w:val="24"/>
                <w:szCs w:val="24"/>
              </w:rPr>
              <w:t>级1.5</w:t>
            </w:r>
            <w:r>
              <w:rPr>
                <w:rFonts w:hint="eastAsia" w:ascii="仿宋_GB2312" w:hAnsi="仿宋_GB2312" w:eastAsia="仿宋_GB2312" w:cs="仿宋_GB2312"/>
                <w:kern w:val="0"/>
                <w:sz w:val="24"/>
                <w:szCs w:val="24"/>
              </w:rPr>
              <w:t>分/项</w:t>
            </w:r>
          </w:p>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校级</w:t>
            </w:r>
            <w:r>
              <w:rPr>
                <w:rFonts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分/项</w:t>
            </w:r>
          </w:p>
        </w:tc>
        <w:tc>
          <w:tcPr>
            <w:tcW w:w="2387" w:type="dxa"/>
            <w:vMerge w:val="restart"/>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上限3分</w:t>
            </w:r>
          </w:p>
          <w:p>
            <w:pPr>
              <w:autoSpaceDE w:val="0"/>
              <w:autoSpaceDN w:val="0"/>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多人参与分值</w:t>
            </w:r>
            <w:r>
              <w:rPr>
                <w:rFonts w:ascii="仿宋_GB2312" w:hAnsi="仿宋_GB2312" w:eastAsia="仿宋_GB2312" w:cs="仿宋_GB2312"/>
                <w:kern w:val="0"/>
                <w:szCs w:val="21"/>
              </w:rPr>
              <w:t>按照</w:t>
            </w:r>
            <w:r>
              <w:rPr>
                <w:rFonts w:hint="eastAsia" w:ascii="仿宋_GB2312" w:hAnsi="仿宋_GB2312" w:eastAsia="仿宋_GB2312" w:cs="仿宋_GB2312"/>
                <w:kern w:val="0"/>
                <w:szCs w:val="21"/>
              </w:rPr>
              <w:t>“学术科技类获奖情况”</w:t>
            </w:r>
            <w:r>
              <w:rPr>
                <w:rFonts w:ascii="仿宋_GB2312" w:hAnsi="仿宋_GB2312" w:eastAsia="仿宋_GB2312" w:cs="仿宋_GB2312"/>
                <w:kern w:val="0"/>
                <w:szCs w:val="21"/>
              </w:rPr>
              <w:t>方法</w:t>
            </w:r>
            <w:r>
              <w:rPr>
                <w:rFonts w:hint="eastAsia" w:ascii="仿宋_GB2312" w:hAnsi="仿宋_GB2312" w:eastAsia="仿宋_GB2312" w:cs="仿宋_GB2312"/>
                <w:kern w:val="0"/>
                <w:szCs w:val="21"/>
              </w:rPr>
              <w:t>计算；未结题的项目不予加分；同年参与多项同类项目的只按一次计。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9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115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2826" w:type="dxa"/>
            <w:gridSpan w:val="2"/>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天津科技大学实验室创新基金项目</w:t>
            </w:r>
          </w:p>
        </w:tc>
        <w:tc>
          <w:tcPr>
            <w:tcW w:w="2268" w:type="dxa"/>
            <w:gridSpan w:val="2"/>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1分/项</w:t>
            </w:r>
          </w:p>
        </w:tc>
        <w:tc>
          <w:tcPr>
            <w:tcW w:w="2387"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9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1155" w:type="dxa"/>
            <w:vMerge w:val="restart"/>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英语</w:t>
            </w:r>
          </w:p>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水平</w:t>
            </w:r>
          </w:p>
        </w:tc>
        <w:tc>
          <w:tcPr>
            <w:tcW w:w="2826" w:type="dxa"/>
            <w:gridSpan w:val="2"/>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英语六级425分及以上</w:t>
            </w:r>
          </w:p>
        </w:tc>
        <w:tc>
          <w:tcPr>
            <w:tcW w:w="2268" w:type="dxa"/>
            <w:gridSpan w:val="2"/>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4</w:t>
            </w:r>
            <w:r>
              <w:rPr>
                <w:rFonts w:hint="eastAsia" w:ascii="仿宋_GB2312" w:hAnsi="仿宋_GB2312" w:eastAsia="仿宋_GB2312" w:cs="仿宋_GB2312"/>
                <w:kern w:val="0"/>
                <w:sz w:val="24"/>
                <w:szCs w:val="24"/>
              </w:rPr>
              <w:t>分</w:t>
            </w:r>
          </w:p>
        </w:tc>
        <w:tc>
          <w:tcPr>
            <w:tcW w:w="2387" w:type="dxa"/>
            <w:vMerge w:val="restart"/>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上限</w:t>
            </w:r>
            <w:r>
              <w:rPr>
                <w:rFonts w:ascii="仿宋_GB2312" w:hAnsi="仿宋_GB2312" w:eastAsia="仿宋_GB2312" w:cs="仿宋_GB2312"/>
                <w:kern w:val="0"/>
                <w:sz w:val="24"/>
                <w:szCs w:val="24"/>
              </w:rPr>
              <w:t>4</w:t>
            </w:r>
            <w:r>
              <w:rPr>
                <w:rFonts w:hint="eastAsia" w:ascii="仿宋_GB2312" w:hAnsi="仿宋_GB2312" w:eastAsia="仿宋_GB2312" w:cs="仿宋_GB2312"/>
                <w:kern w:val="0"/>
                <w:sz w:val="24"/>
                <w:szCs w:val="24"/>
              </w:rPr>
              <w:t>分</w:t>
            </w:r>
          </w:p>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四、六级不重复计分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9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1155"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2826" w:type="dxa"/>
            <w:gridSpan w:val="2"/>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英语四级425分及以上</w:t>
            </w:r>
          </w:p>
        </w:tc>
        <w:tc>
          <w:tcPr>
            <w:tcW w:w="2268" w:type="dxa"/>
            <w:gridSpan w:val="2"/>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2分</w:t>
            </w:r>
          </w:p>
        </w:tc>
        <w:tc>
          <w:tcPr>
            <w:tcW w:w="2387"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r>
    </w:tbl>
    <w:p>
      <w:pPr>
        <w:autoSpaceDE w:val="0"/>
        <w:autoSpaceDN w:val="0"/>
        <w:adjustRightInd w:val="0"/>
        <w:spacing w:line="360" w:lineRule="auto"/>
        <w:rPr>
          <w:rFonts w:ascii="仿宋_GB2312" w:hAnsi="仿宋_GB2312" w:eastAsia="仿宋_GB2312" w:cs="仿宋_GB2312"/>
          <w:kern w:val="0"/>
          <w:sz w:val="32"/>
          <w:szCs w:val="32"/>
        </w:rPr>
      </w:pPr>
    </w:p>
    <w:p>
      <w:pPr>
        <w:autoSpaceDE w:val="0"/>
        <w:autoSpaceDN w:val="0"/>
        <w:adjustRightInd w:val="0"/>
        <w:spacing w:line="360" w:lineRule="auto"/>
        <w:rPr>
          <w:rFonts w:ascii="仿宋_GB2312" w:hAnsi="仿宋_GB2312" w:eastAsia="仿宋_GB2312" w:cs="仿宋_GB2312"/>
          <w:kern w:val="0"/>
          <w:sz w:val="32"/>
          <w:szCs w:val="32"/>
        </w:rPr>
      </w:pPr>
    </w:p>
    <w:p>
      <w:pPr>
        <w:autoSpaceDE w:val="0"/>
        <w:autoSpaceDN w:val="0"/>
        <w:adjustRightInd w:val="0"/>
        <w:spacing w:line="360" w:lineRule="auto"/>
        <w:rPr>
          <w:rFonts w:ascii="仿宋_GB2312" w:hAnsi="仿宋_GB2312" w:eastAsia="仿宋_GB2312" w:cs="仿宋_GB2312"/>
          <w:kern w:val="0"/>
          <w:sz w:val="32"/>
          <w:szCs w:val="32"/>
        </w:rPr>
      </w:pPr>
    </w:p>
    <w:p>
      <w:pPr>
        <w:autoSpaceDE w:val="0"/>
        <w:autoSpaceDN w:val="0"/>
        <w:adjustRightInd w:val="0"/>
        <w:spacing w:line="360" w:lineRule="auto"/>
        <w:rPr>
          <w:rFonts w:ascii="仿宋_GB2312" w:hAnsi="仿宋_GB2312" w:eastAsia="仿宋_GB2312" w:cs="仿宋_GB2312"/>
          <w:kern w:val="0"/>
          <w:sz w:val="32"/>
          <w:szCs w:val="32"/>
        </w:rPr>
      </w:pPr>
    </w:p>
    <w:p>
      <w:pPr>
        <w:autoSpaceDE w:val="0"/>
        <w:autoSpaceDN w:val="0"/>
        <w:adjustRightInd w:val="0"/>
        <w:spacing w:line="360" w:lineRule="auto"/>
        <w:rPr>
          <w:rFonts w:ascii="仿宋_GB2312" w:hAnsi="仿宋_GB2312" w:eastAsia="仿宋_GB2312" w:cs="仿宋_GB2312"/>
          <w:kern w:val="0"/>
          <w:sz w:val="32"/>
          <w:szCs w:val="32"/>
        </w:rPr>
      </w:pPr>
    </w:p>
    <w:p>
      <w:pPr>
        <w:autoSpaceDE w:val="0"/>
        <w:autoSpaceDN w:val="0"/>
        <w:adjustRightInd w:val="0"/>
        <w:spacing w:line="360" w:lineRule="auto"/>
        <w:rPr>
          <w:rFonts w:ascii="仿宋_GB2312" w:hAnsi="仿宋_GB2312" w:eastAsia="仿宋_GB2312" w:cs="仿宋_GB2312"/>
          <w:kern w:val="0"/>
          <w:sz w:val="32"/>
          <w:szCs w:val="32"/>
        </w:rPr>
      </w:pPr>
    </w:p>
    <w:p>
      <w:pPr>
        <w:autoSpaceDE w:val="0"/>
        <w:autoSpaceDN w:val="0"/>
        <w:adjustRightInd w:val="0"/>
        <w:spacing w:line="360" w:lineRule="auto"/>
        <w:rPr>
          <w:rFonts w:ascii="仿宋_GB2312" w:hAnsi="仿宋_GB2312" w:eastAsia="仿宋_GB2312" w:cs="仿宋_GB2312"/>
          <w:kern w:val="0"/>
          <w:sz w:val="32"/>
          <w:szCs w:val="3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430"/>
        <w:gridCol w:w="2250"/>
        <w:gridCol w:w="133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71" w:type="dxa"/>
            <w:vAlign w:val="center"/>
          </w:tcPr>
          <w:p>
            <w:pPr>
              <w:autoSpaceDE w:val="0"/>
              <w:autoSpaceDN w:val="0"/>
              <w:adjustRightInd w:val="0"/>
              <w:spacing w:line="360" w:lineRule="auto"/>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指标</w:t>
            </w:r>
          </w:p>
          <w:p>
            <w:pPr>
              <w:autoSpaceDE w:val="0"/>
              <w:autoSpaceDN w:val="0"/>
              <w:adjustRightInd w:val="0"/>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b/>
                <w:bCs/>
                <w:kern w:val="0"/>
                <w:sz w:val="24"/>
                <w:szCs w:val="24"/>
              </w:rPr>
              <w:t>体系</w:t>
            </w:r>
          </w:p>
        </w:tc>
        <w:tc>
          <w:tcPr>
            <w:tcW w:w="2430" w:type="dxa"/>
            <w:vAlign w:val="center"/>
          </w:tcPr>
          <w:p>
            <w:pPr>
              <w:autoSpaceDE w:val="0"/>
              <w:autoSpaceDN w:val="0"/>
              <w:adjustRightInd w:val="0"/>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b/>
                <w:bCs/>
                <w:kern w:val="0"/>
                <w:sz w:val="24"/>
                <w:szCs w:val="24"/>
              </w:rPr>
              <w:t>赋分项</w:t>
            </w:r>
          </w:p>
        </w:tc>
        <w:tc>
          <w:tcPr>
            <w:tcW w:w="2250" w:type="dxa"/>
            <w:vAlign w:val="center"/>
          </w:tcPr>
          <w:p>
            <w:pPr>
              <w:autoSpaceDE w:val="0"/>
              <w:autoSpaceDN w:val="0"/>
              <w:adjustRightInd w:val="0"/>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b/>
                <w:bCs/>
                <w:kern w:val="0"/>
                <w:sz w:val="24"/>
                <w:szCs w:val="24"/>
              </w:rPr>
              <w:t>赋分细则</w:t>
            </w:r>
          </w:p>
        </w:tc>
        <w:tc>
          <w:tcPr>
            <w:tcW w:w="1335" w:type="dxa"/>
            <w:vAlign w:val="center"/>
          </w:tcPr>
          <w:p>
            <w:pPr>
              <w:autoSpaceDE w:val="0"/>
              <w:autoSpaceDN w:val="0"/>
              <w:adjustRightInd w:val="0"/>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b/>
                <w:bCs/>
                <w:kern w:val="0"/>
                <w:sz w:val="24"/>
                <w:szCs w:val="24"/>
              </w:rPr>
              <w:t>分值</w:t>
            </w:r>
          </w:p>
        </w:tc>
        <w:tc>
          <w:tcPr>
            <w:tcW w:w="2205" w:type="dxa"/>
            <w:vAlign w:val="center"/>
          </w:tcPr>
          <w:p>
            <w:pPr>
              <w:autoSpaceDE w:val="0"/>
              <w:autoSpaceDN w:val="0"/>
              <w:adjustRightInd w:val="0"/>
              <w:spacing w:line="360" w:lineRule="auto"/>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1171" w:type="dxa"/>
            <w:vMerge w:val="restart"/>
            <w:vAlign w:val="center"/>
          </w:tcPr>
          <w:p>
            <w:pPr>
              <w:autoSpaceDE w:val="0"/>
              <w:autoSpaceDN w:val="0"/>
              <w:adjustRightIn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学术科技类获奖情况</w:t>
            </w:r>
          </w:p>
          <w:p>
            <w:pPr>
              <w:autoSpaceDE w:val="0"/>
              <w:autoSpaceDN w:val="0"/>
              <w:adjustRightIn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（35分）</w:t>
            </w:r>
          </w:p>
        </w:tc>
        <w:tc>
          <w:tcPr>
            <w:tcW w:w="2430" w:type="dxa"/>
            <w:vMerge w:val="restart"/>
            <w:vAlign w:val="center"/>
          </w:tcPr>
          <w:p>
            <w:pPr>
              <w:autoSpaceDE w:val="0"/>
              <w:autoSpaceDN w:val="0"/>
              <w:adjustRightInd w:val="0"/>
              <w:spacing w:line="360" w:lineRule="auto"/>
              <w:rPr>
                <w:rFonts w:ascii="仿宋_GB2312" w:hAnsi="仿宋_GB2312" w:eastAsia="仿宋_GB2312" w:cs="仿宋_GB2312"/>
                <w:kern w:val="0"/>
                <w:sz w:val="32"/>
                <w:szCs w:val="32"/>
              </w:rPr>
            </w:pPr>
            <w:r>
              <w:rPr>
                <w:rFonts w:hint="eastAsia" w:ascii="仿宋_GB2312" w:hAnsi="仿宋_GB2312" w:eastAsia="仿宋_GB2312" w:cs="仿宋_GB2312"/>
                <w:kern w:val="0"/>
                <w:sz w:val="24"/>
                <w:szCs w:val="24"/>
              </w:rPr>
              <w:t>中国国际“互联网+”大学生创新创业大赛、“挑战杯”全国大学生课外学术科技作品竞赛、“挑战杯”中国大学生创业计划竞赛（创青春大学生创业大赛）</w:t>
            </w:r>
          </w:p>
        </w:tc>
        <w:tc>
          <w:tcPr>
            <w:tcW w:w="2250" w:type="dxa"/>
            <w:vAlign w:val="center"/>
          </w:tcPr>
          <w:p>
            <w:pPr>
              <w:autoSpaceDE w:val="0"/>
              <w:autoSpaceDN w:val="0"/>
              <w:adjustRightInd w:val="0"/>
              <w:spacing w:line="360" w:lineRule="auto"/>
              <w:jc w:val="lef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国家级一等及以上；二等奖；三等奖</w:t>
            </w:r>
          </w:p>
        </w:tc>
        <w:tc>
          <w:tcPr>
            <w:tcW w:w="1335" w:type="dxa"/>
            <w:vAlign w:val="center"/>
          </w:tcPr>
          <w:p>
            <w:pPr>
              <w:autoSpaceDE w:val="0"/>
              <w:autoSpaceDN w:val="0"/>
              <w:adjustRightIn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30分；20分；10分</w:t>
            </w:r>
          </w:p>
        </w:tc>
        <w:tc>
          <w:tcPr>
            <w:tcW w:w="2205" w:type="dxa"/>
            <w:vMerge w:val="restart"/>
            <w:vAlign w:val="center"/>
          </w:tcPr>
          <w:p>
            <w:pPr>
              <w:autoSpaceDE w:val="0"/>
              <w:autoSpaceDN w:val="0"/>
              <w:adjustRightIn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上限35分</w:t>
            </w:r>
          </w:p>
          <w:p>
            <w:pPr>
              <w:autoSpaceDE w:val="0"/>
              <w:autoSpaceDN w:val="0"/>
              <w:adjustRightInd w:val="0"/>
              <w:spacing w:line="360" w:lineRule="auto"/>
              <w:rPr>
                <w:rFonts w:ascii="仿宋_GB2312" w:hAnsi="仿宋_GB2312" w:eastAsia="仿宋_GB2312" w:cs="仿宋_GB2312"/>
                <w:kern w:val="0"/>
                <w:szCs w:val="21"/>
              </w:rPr>
            </w:pPr>
            <w:r>
              <w:rPr>
                <w:rFonts w:hint="eastAsia" w:ascii="仿宋_GB2312" w:hAnsi="仿宋_GB2312" w:eastAsia="仿宋_GB2312" w:cs="仿宋_GB2312"/>
                <w:kern w:val="0"/>
                <w:szCs w:val="21"/>
              </w:rPr>
              <w:t>申请特殊学术专长业绩不能重复计分；相应分值只</w:t>
            </w:r>
            <w:r>
              <w:rPr>
                <w:rFonts w:ascii="仿宋_GB2312" w:hAnsi="仿宋_GB2312" w:eastAsia="仿宋_GB2312" w:cs="仿宋_GB2312"/>
                <w:kern w:val="0"/>
                <w:szCs w:val="21"/>
              </w:rPr>
              <w:t>计算排名前</w:t>
            </w:r>
            <w:r>
              <w:rPr>
                <w:rFonts w:hint="eastAsia" w:ascii="仿宋_GB2312" w:hAnsi="仿宋_GB2312" w:eastAsia="仿宋_GB2312" w:cs="仿宋_GB2312"/>
                <w:kern w:val="0"/>
                <w:szCs w:val="21"/>
              </w:rPr>
              <w:t>5的</w:t>
            </w:r>
            <w:r>
              <w:rPr>
                <w:rFonts w:ascii="仿宋_GB2312" w:hAnsi="仿宋_GB2312" w:eastAsia="仿宋_GB2312" w:cs="仿宋_GB2312"/>
                <w:kern w:val="0"/>
                <w:szCs w:val="21"/>
              </w:rPr>
              <w:t>学生</w:t>
            </w:r>
            <w:r>
              <w:rPr>
                <w:rFonts w:hint="eastAsia" w:ascii="仿宋_GB2312" w:hAnsi="仿宋_GB2312" w:eastAsia="仿宋_GB2312" w:cs="仿宋_GB2312"/>
                <w:kern w:val="0"/>
                <w:szCs w:val="21"/>
              </w:rPr>
              <w:t>，按排名前后顺序依次递减</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计算方法为：</w:t>
            </w:r>
          </w:p>
          <w:p>
            <w:pPr>
              <w:autoSpaceDE w:val="0"/>
              <w:autoSpaceDN w:val="0"/>
              <w:adjustRightInd w:val="0"/>
              <w:spacing w:line="360" w:lineRule="auto"/>
              <w:rPr>
                <w:rFonts w:ascii="仿宋_GB2312" w:hAnsi="仿宋_GB2312" w:eastAsia="仿宋_GB2312" w:cs="仿宋_GB2312"/>
                <w:kern w:val="0"/>
                <w:szCs w:val="21"/>
              </w:rPr>
            </w:pPr>
            <w:r>
              <w:rPr>
                <w:rFonts w:hint="eastAsia" w:ascii="仿宋_GB2312" w:hAnsi="仿宋_GB2312" w:eastAsia="仿宋_GB2312" w:cs="仿宋_GB2312"/>
              </w:rPr>
              <w:drawing>
                <wp:inline distT="0" distB="0" distL="114300" distR="114300">
                  <wp:extent cx="1219835" cy="432435"/>
                  <wp:effectExtent l="0" t="0" r="18415" b="5715"/>
                  <wp:docPr id="2" name="图片 4" descr="计算公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计算公式"/>
                          <pic:cNvPicPr>
                            <a:picLocks noChangeAspect="1"/>
                          </pic:cNvPicPr>
                        </pic:nvPicPr>
                        <pic:blipFill>
                          <a:blip r:embed="rId6" cstate="print"/>
                          <a:stretch>
                            <a:fillRect/>
                          </a:stretch>
                        </pic:blipFill>
                        <pic:spPr>
                          <a:xfrm>
                            <a:off x="0" y="0"/>
                            <a:ext cx="1219835" cy="432435"/>
                          </a:xfrm>
                          <a:prstGeom prst="rect">
                            <a:avLst/>
                          </a:prstGeom>
                          <a:noFill/>
                          <a:ln>
                            <a:noFill/>
                          </a:ln>
                        </pic:spPr>
                      </pic:pic>
                    </a:graphicData>
                  </a:graphic>
                </wp:inline>
              </w:drawing>
            </w:r>
            <w:r>
              <w:rPr>
                <w:rFonts w:hint="eastAsia" w:ascii="仿宋_GB2312" w:hAnsi="仿宋_GB2312" w:eastAsia="仿宋_GB2312" w:cs="仿宋_GB2312"/>
                <w:kern w:val="0"/>
                <w:szCs w:val="21"/>
              </w:rPr>
              <w:t>其中S为申请人排名，N为获奖人总数，P为该项总分值。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1171" w:type="dxa"/>
            <w:vMerge w:val="continue"/>
            <w:vAlign w:val="center"/>
          </w:tcPr>
          <w:p>
            <w:pPr>
              <w:autoSpaceDE w:val="0"/>
              <w:autoSpaceDN w:val="0"/>
              <w:adjustRightInd w:val="0"/>
              <w:spacing w:line="360" w:lineRule="auto"/>
              <w:jc w:val="center"/>
              <w:rPr>
                <w:rFonts w:ascii="仿宋_GB2312" w:hAnsi="仿宋_GB2312" w:eastAsia="仿宋_GB2312" w:cs="仿宋_GB2312"/>
                <w:kern w:val="0"/>
                <w:sz w:val="24"/>
                <w:szCs w:val="24"/>
              </w:rPr>
            </w:pPr>
          </w:p>
        </w:tc>
        <w:tc>
          <w:tcPr>
            <w:tcW w:w="2430" w:type="dxa"/>
            <w:vMerge w:val="continue"/>
          </w:tcPr>
          <w:p>
            <w:pPr>
              <w:autoSpaceDE w:val="0"/>
              <w:autoSpaceDN w:val="0"/>
              <w:adjustRightInd w:val="0"/>
              <w:spacing w:line="360" w:lineRule="auto"/>
              <w:rPr>
                <w:rFonts w:ascii="仿宋_GB2312" w:hAnsi="仿宋_GB2312" w:eastAsia="仿宋_GB2312" w:cs="仿宋_GB2312"/>
                <w:kern w:val="0"/>
                <w:sz w:val="24"/>
                <w:szCs w:val="24"/>
              </w:rPr>
            </w:pPr>
          </w:p>
        </w:tc>
        <w:tc>
          <w:tcPr>
            <w:tcW w:w="2250" w:type="dxa"/>
            <w:vAlign w:val="center"/>
          </w:tcPr>
          <w:p>
            <w:pPr>
              <w:autoSpaceDE w:val="0"/>
              <w:autoSpaceDN w:val="0"/>
              <w:adjustRightInd w:val="0"/>
              <w:spacing w:line="360" w:lineRule="auto"/>
              <w:jc w:val="lef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省、部级一等及以上；二等奖；三等奖</w:t>
            </w:r>
          </w:p>
        </w:tc>
        <w:tc>
          <w:tcPr>
            <w:tcW w:w="1335" w:type="dxa"/>
            <w:vAlign w:val="center"/>
          </w:tcPr>
          <w:p>
            <w:pPr>
              <w:autoSpaceDE w:val="0"/>
              <w:autoSpaceDN w:val="0"/>
              <w:adjustRightIn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10分；8分；6分</w:t>
            </w:r>
          </w:p>
        </w:tc>
        <w:tc>
          <w:tcPr>
            <w:tcW w:w="2205" w:type="dxa"/>
            <w:vMerge w:val="continue"/>
            <w:vAlign w:val="center"/>
          </w:tcPr>
          <w:p>
            <w:pPr>
              <w:autoSpaceDE w:val="0"/>
              <w:autoSpaceDN w:val="0"/>
              <w:adjustRightInd w:val="0"/>
              <w:spacing w:line="360" w:lineRule="auto"/>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1171" w:type="dxa"/>
            <w:vMerge w:val="continue"/>
            <w:vAlign w:val="center"/>
          </w:tcPr>
          <w:p>
            <w:pPr>
              <w:autoSpaceDE w:val="0"/>
              <w:autoSpaceDN w:val="0"/>
              <w:adjustRightInd w:val="0"/>
              <w:spacing w:line="360" w:lineRule="auto"/>
              <w:jc w:val="center"/>
              <w:rPr>
                <w:rFonts w:ascii="仿宋_GB2312" w:hAnsi="仿宋_GB2312" w:eastAsia="仿宋_GB2312" w:cs="仿宋_GB2312"/>
                <w:kern w:val="0"/>
                <w:sz w:val="24"/>
                <w:szCs w:val="24"/>
              </w:rPr>
            </w:pPr>
          </w:p>
        </w:tc>
        <w:tc>
          <w:tcPr>
            <w:tcW w:w="2430" w:type="dxa"/>
            <w:vMerge w:val="continue"/>
          </w:tcPr>
          <w:p>
            <w:pPr>
              <w:autoSpaceDE w:val="0"/>
              <w:autoSpaceDN w:val="0"/>
              <w:adjustRightInd w:val="0"/>
              <w:spacing w:line="360" w:lineRule="auto"/>
              <w:rPr>
                <w:rFonts w:ascii="仿宋_GB2312" w:hAnsi="仿宋_GB2312" w:eastAsia="仿宋_GB2312" w:cs="仿宋_GB2312"/>
                <w:kern w:val="0"/>
                <w:sz w:val="24"/>
                <w:szCs w:val="24"/>
              </w:rPr>
            </w:pPr>
          </w:p>
        </w:tc>
        <w:tc>
          <w:tcPr>
            <w:tcW w:w="2250" w:type="dxa"/>
            <w:vAlign w:val="center"/>
          </w:tcPr>
          <w:p>
            <w:pPr>
              <w:autoSpaceDE w:val="0"/>
              <w:autoSpaceDN w:val="0"/>
              <w:adjustRightInd w:val="0"/>
              <w:spacing w:line="360" w:lineRule="auto"/>
              <w:jc w:val="left"/>
              <w:rPr>
                <w:rFonts w:ascii="仿宋_GB2312" w:hAnsi="仿宋_GB2312" w:eastAsia="仿宋_GB2312" w:cs="仿宋_GB2312"/>
                <w:kern w:val="0"/>
                <w:sz w:val="22"/>
                <w:szCs w:val="22"/>
                <w:highlight w:val="yellow"/>
              </w:rPr>
            </w:pPr>
            <w:r>
              <w:rPr>
                <w:rFonts w:hint="eastAsia" w:ascii="仿宋_GB2312" w:hAnsi="仿宋_GB2312" w:eastAsia="仿宋_GB2312" w:cs="仿宋_GB2312"/>
                <w:kern w:val="0"/>
                <w:sz w:val="22"/>
                <w:szCs w:val="22"/>
              </w:rPr>
              <w:t>校级一等及以上；二等奖；三等奖</w:t>
            </w:r>
          </w:p>
        </w:tc>
        <w:tc>
          <w:tcPr>
            <w:tcW w:w="1335" w:type="dxa"/>
            <w:vAlign w:val="center"/>
          </w:tcPr>
          <w:p>
            <w:pPr>
              <w:autoSpaceDE w:val="0"/>
              <w:autoSpaceDN w:val="0"/>
              <w:adjustRightInd w:val="0"/>
              <w:spacing w:line="360" w:lineRule="auto"/>
              <w:jc w:val="center"/>
              <w:rPr>
                <w:rFonts w:ascii="仿宋_GB2312" w:hAnsi="仿宋_GB2312" w:eastAsia="仿宋_GB2312" w:cs="仿宋_GB2312"/>
                <w:kern w:val="0"/>
                <w:sz w:val="24"/>
                <w:szCs w:val="24"/>
                <w:highlight w:val="yellow"/>
              </w:rPr>
            </w:pPr>
            <w:r>
              <w:rPr>
                <w:rFonts w:hint="eastAsia" w:ascii="仿宋_GB2312" w:hAnsi="仿宋_GB2312" w:eastAsia="仿宋_GB2312" w:cs="仿宋_GB2312"/>
                <w:kern w:val="0"/>
                <w:sz w:val="24"/>
                <w:szCs w:val="24"/>
              </w:rPr>
              <w:t>6分；</w:t>
            </w:r>
            <w:r>
              <w:rPr>
                <w:rFonts w:ascii="仿宋_GB2312" w:hAnsi="仿宋_GB2312" w:eastAsia="仿宋_GB2312" w:cs="仿宋_GB2312"/>
                <w:kern w:val="0"/>
                <w:sz w:val="24"/>
                <w:szCs w:val="24"/>
              </w:rPr>
              <w:t>5</w:t>
            </w:r>
            <w:r>
              <w:rPr>
                <w:rFonts w:hint="eastAsia" w:ascii="仿宋_GB2312" w:hAnsi="仿宋_GB2312" w:eastAsia="仿宋_GB2312" w:cs="仿宋_GB2312"/>
                <w:kern w:val="0"/>
                <w:sz w:val="24"/>
                <w:szCs w:val="24"/>
              </w:rPr>
              <w:t>分；</w:t>
            </w:r>
            <w:r>
              <w:rPr>
                <w:rFonts w:ascii="仿宋_GB2312" w:hAnsi="仿宋_GB2312" w:eastAsia="仿宋_GB2312" w:cs="仿宋_GB2312"/>
                <w:kern w:val="0"/>
                <w:sz w:val="24"/>
                <w:szCs w:val="24"/>
              </w:rPr>
              <w:t>4</w:t>
            </w:r>
            <w:r>
              <w:rPr>
                <w:rFonts w:hint="eastAsia" w:ascii="仿宋_GB2312" w:hAnsi="仿宋_GB2312" w:eastAsia="仿宋_GB2312" w:cs="仿宋_GB2312"/>
                <w:kern w:val="0"/>
                <w:sz w:val="24"/>
                <w:szCs w:val="24"/>
              </w:rPr>
              <w:t>分</w:t>
            </w:r>
          </w:p>
        </w:tc>
        <w:tc>
          <w:tcPr>
            <w:tcW w:w="2205" w:type="dxa"/>
            <w:vMerge w:val="continue"/>
            <w:vAlign w:val="center"/>
          </w:tcPr>
          <w:p>
            <w:pPr>
              <w:autoSpaceDE w:val="0"/>
              <w:autoSpaceDN w:val="0"/>
              <w:adjustRightInd w:val="0"/>
              <w:spacing w:line="360" w:lineRule="auto"/>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1171" w:type="dxa"/>
            <w:vMerge w:val="continue"/>
          </w:tcPr>
          <w:p>
            <w:pPr>
              <w:autoSpaceDE w:val="0"/>
              <w:autoSpaceDN w:val="0"/>
              <w:adjustRightInd w:val="0"/>
              <w:spacing w:line="360" w:lineRule="auto"/>
              <w:rPr>
                <w:rFonts w:ascii="仿宋_GB2312" w:hAnsi="仿宋_GB2312" w:eastAsia="仿宋_GB2312" w:cs="仿宋_GB2312"/>
                <w:kern w:val="0"/>
                <w:sz w:val="32"/>
                <w:szCs w:val="32"/>
              </w:rPr>
            </w:pPr>
          </w:p>
        </w:tc>
        <w:tc>
          <w:tcPr>
            <w:tcW w:w="2430" w:type="dxa"/>
            <w:vMerge w:val="restart"/>
            <w:vAlign w:val="center"/>
          </w:tcPr>
          <w:p>
            <w:pPr>
              <w:autoSpaceDE w:val="0"/>
              <w:autoSpaceDN w:val="0"/>
              <w:adjustRightInd w:val="0"/>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24"/>
                <w:szCs w:val="24"/>
              </w:rPr>
              <w:t>其他学术科技类竞赛</w:t>
            </w:r>
          </w:p>
        </w:tc>
        <w:tc>
          <w:tcPr>
            <w:tcW w:w="2250" w:type="dxa"/>
            <w:vAlign w:val="center"/>
          </w:tcPr>
          <w:p>
            <w:pPr>
              <w:autoSpaceDE w:val="0"/>
              <w:autoSpaceDN w:val="0"/>
              <w:adjustRightInd w:val="0"/>
              <w:spacing w:line="360" w:lineRule="auto"/>
              <w:jc w:val="lef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国家级一等及以上；二等奖；三等奖</w:t>
            </w:r>
          </w:p>
        </w:tc>
        <w:tc>
          <w:tcPr>
            <w:tcW w:w="1335" w:type="dxa"/>
            <w:vAlign w:val="center"/>
          </w:tcPr>
          <w:p>
            <w:pPr>
              <w:autoSpaceDE w:val="0"/>
              <w:autoSpaceDN w:val="0"/>
              <w:adjustRightIn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10分；8分；6分</w:t>
            </w:r>
          </w:p>
        </w:tc>
        <w:tc>
          <w:tcPr>
            <w:tcW w:w="2205" w:type="dxa"/>
            <w:vMerge w:val="continue"/>
            <w:vAlign w:val="center"/>
          </w:tcPr>
          <w:p>
            <w:pPr>
              <w:autoSpaceDE w:val="0"/>
              <w:autoSpaceDN w:val="0"/>
              <w:adjustRightInd w:val="0"/>
              <w:spacing w:line="360" w:lineRule="auto"/>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171" w:type="dxa"/>
            <w:vMerge w:val="continue"/>
          </w:tcPr>
          <w:p>
            <w:pPr>
              <w:autoSpaceDE w:val="0"/>
              <w:autoSpaceDN w:val="0"/>
              <w:adjustRightInd w:val="0"/>
              <w:spacing w:line="360" w:lineRule="auto"/>
              <w:rPr>
                <w:rFonts w:ascii="仿宋_GB2312" w:hAnsi="仿宋_GB2312" w:eastAsia="仿宋_GB2312" w:cs="仿宋_GB2312"/>
                <w:kern w:val="0"/>
                <w:sz w:val="32"/>
                <w:szCs w:val="32"/>
              </w:rPr>
            </w:pPr>
          </w:p>
        </w:tc>
        <w:tc>
          <w:tcPr>
            <w:tcW w:w="2430" w:type="dxa"/>
            <w:vMerge w:val="continue"/>
          </w:tcPr>
          <w:p>
            <w:pPr>
              <w:autoSpaceDE w:val="0"/>
              <w:autoSpaceDN w:val="0"/>
              <w:adjustRightInd w:val="0"/>
              <w:spacing w:line="360" w:lineRule="auto"/>
              <w:jc w:val="center"/>
              <w:rPr>
                <w:rFonts w:ascii="仿宋_GB2312" w:hAnsi="仿宋_GB2312" w:eastAsia="仿宋_GB2312" w:cs="仿宋_GB2312"/>
                <w:kern w:val="0"/>
                <w:sz w:val="24"/>
                <w:szCs w:val="24"/>
              </w:rPr>
            </w:pPr>
          </w:p>
        </w:tc>
        <w:tc>
          <w:tcPr>
            <w:tcW w:w="2250" w:type="dxa"/>
            <w:vAlign w:val="center"/>
          </w:tcPr>
          <w:p>
            <w:pPr>
              <w:autoSpaceDE w:val="0"/>
              <w:autoSpaceDN w:val="0"/>
              <w:adjustRightInd w:val="0"/>
              <w:spacing w:line="360" w:lineRule="auto"/>
              <w:jc w:val="lef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省、部级一等及以上；二等奖；三等奖</w:t>
            </w:r>
          </w:p>
        </w:tc>
        <w:tc>
          <w:tcPr>
            <w:tcW w:w="1335" w:type="dxa"/>
            <w:vAlign w:val="center"/>
          </w:tcPr>
          <w:p>
            <w:pPr>
              <w:autoSpaceDE w:val="0"/>
              <w:autoSpaceDN w:val="0"/>
              <w:adjustRightIn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6分；5分；4分</w:t>
            </w:r>
          </w:p>
        </w:tc>
        <w:tc>
          <w:tcPr>
            <w:tcW w:w="2205" w:type="dxa"/>
            <w:vMerge w:val="continue"/>
            <w:vAlign w:val="center"/>
          </w:tcPr>
          <w:p>
            <w:pPr>
              <w:autoSpaceDE w:val="0"/>
              <w:autoSpaceDN w:val="0"/>
              <w:adjustRightInd w:val="0"/>
              <w:spacing w:line="360" w:lineRule="auto"/>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171" w:type="dxa"/>
            <w:vMerge w:val="continue"/>
          </w:tcPr>
          <w:p>
            <w:pPr>
              <w:autoSpaceDE w:val="0"/>
              <w:autoSpaceDN w:val="0"/>
              <w:adjustRightInd w:val="0"/>
              <w:spacing w:line="360" w:lineRule="auto"/>
              <w:rPr>
                <w:rFonts w:ascii="仿宋_GB2312" w:hAnsi="仿宋_GB2312" w:eastAsia="仿宋_GB2312" w:cs="仿宋_GB2312"/>
                <w:kern w:val="0"/>
                <w:sz w:val="32"/>
                <w:szCs w:val="32"/>
              </w:rPr>
            </w:pPr>
          </w:p>
        </w:tc>
        <w:tc>
          <w:tcPr>
            <w:tcW w:w="2430" w:type="dxa"/>
            <w:vMerge w:val="continue"/>
          </w:tcPr>
          <w:p>
            <w:pPr>
              <w:autoSpaceDE w:val="0"/>
              <w:autoSpaceDN w:val="0"/>
              <w:adjustRightInd w:val="0"/>
              <w:spacing w:line="360" w:lineRule="auto"/>
              <w:jc w:val="center"/>
              <w:rPr>
                <w:rFonts w:ascii="仿宋_GB2312" w:hAnsi="仿宋_GB2312" w:eastAsia="仿宋_GB2312" w:cs="仿宋_GB2312"/>
                <w:kern w:val="0"/>
                <w:sz w:val="24"/>
                <w:szCs w:val="24"/>
              </w:rPr>
            </w:pPr>
          </w:p>
        </w:tc>
        <w:tc>
          <w:tcPr>
            <w:tcW w:w="2250" w:type="dxa"/>
            <w:vAlign w:val="center"/>
          </w:tcPr>
          <w:p>
            <w:pPr>
              <w:autoSpaceDE w:val="0"/>
              <w:autoSpaceDN w:val="0"/>
              <w:adjustRightInd w:val="0"/>
              <w:spacing w:line="360" w:lineRule="auto"/>
              <w:jc w:val="lef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企业、校级一等及以上；二等奖；三等奖</w:t>
            </w:r>
          </w:p>
        </w:tc>
        <w:tc>
          <w:tcPr>
            <w:tcW w:w="1335" w:type="dxa"/>
            <w:vAlign w:val="center"/>
          </w:tcPr>
          <w:p>
            <w:pPr>
              <w:autoSpaceDE w:val="0"/>
              <w:autoSpaceDN w:val="0"/>
              <w:adjustRightIn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4分；3分；2分</w:t>
            </w:r>
          </w:p>
        </w:tc>
        <w:tc>
          <w:tcPr>
            <w:tcW w:w="2205" w:type="dxa"/>
            <w:vMerge w:val="continue"/>
            <w:vAlign w:val="center"/>
          </w:tcPr>
          <w:p>
            <w:pPr>
              <w:autoSpaceDE w:val="0"/>
              <w:autoSpaceDN w:val="0"/>
              <w:adjustRightInd w:val="0"/>
              <w:spacing w:line="360" w:lineRule="auto"/>
              <w:jc w:val="center"/>
              <w:rPr>
                <w:rFonts w:ascii="仿宋_GB2312" w:hAnsi="仿宋_GB2312" w:eastAsia="仿宋_GB2312" w:cs="仿宋_GB2312"/>
                <w:kern w:val="0"/>
                <w:sz w:val="32"/>
                <w:szCs w:val="32"/>
              </w:rPr>
            </w:pPr>
          </w:p>
        </w:tc>
      </w:tr>
    </w:tbl>
    <w:p>
      <w:pPr>
        <w:autoSpaceDE w:val="0"/>
        <w:autoSpaceDN w:val="0"/>
        <w:adjustRightInd w:val="0"/>
        <w:spacing w:line="360" w:lineRule="auto"/>
        <w:rPr>
          <w:rFonts w:ascii="仿宋_GB2312" w:hAnsi="仿宋_GB2312" w:eastAsia="仿宋_GB2312" w:cs="仿宋_GB2312"/>
          <w:kern w:val="0"/>
          <w:sz w:val="32"/>
          <w:szCs w:val="32"/>
        </w:rPr>
      </w:pPr>
    </w:p>
    <w:p>
      <w:pPr>
        <w:autoSpaceDE w:val="0"/>
        <w:autoSpaceDN w:val="0"/>
        <w:adjustRightInd w:val="0"/>
        <w:spacing w:line="360" w:lineRule="auto"/>
        <w:rPr>
          <w:rFonts w:ascii="仿宋_GB2312" w:hAnsi="仿宋_GB2312" w:eastAsia="仿宋_GB2312" w:cs="仿宋_GB2312"/>
          <w:kern w:val="0"/>
          <w:sz w:val="32"/>
          <w:szCs w:val="32"/>
        </w:rPr>
      </w:pPr>
    </w:p>
    <w:p>
      <w:pPr>
        <w:autoSpaceDE w:val="0"/>
        <w:autoSpaceDN w:val="0"/>
        <w:adjustRightInd w:val="0"/>
        <w:spacing w:line="360" w:lineRule="auto"/>
        <w:rPr>
          <w:rFonts w:ascii="仿宋_GB2312" w:hAnsi="仿宋_GB2312" w:eastAsia="仿宋_GB2312" w:cs="仿宋_GB2312"/>
          <w:kern w:val="0"/>
          <w:sz w:val="32"/>
          <w:szCs w:val="3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1770"/>
        <w:gridCol w:w="2625"/>
        <w:gridCol w:w="1440"/>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16" w:type="dxa"/>
            <w:vAlign w:val="center"/>
          </w:tcPr>
          <w:p>
            <w:pPr>
              <w:autoSpaceDE w:val="0"/>
              <w:autoSpaceDN w:val="0"/>
              <w:adjustRightInd w:val="0"/>
              <w:snapToGrid w:val="0"/>
              <w:jc w:val="center"/>
              <w:rPr>
                <w:rFonts w:ascii="仿宋_GB2312" w:hAnsi="仿宋_GB2312" w:eastAsia="仿宋_GB2312" w:cs="仿宋_GB2312"/>
                <w:b/>
                <w:bCs/>
                <w:kern w:val="0"/>
                <w:sz w:val="24"/>
                <w:szCs w:val="24"/>
              </w:rPr>
            </w:pPr>
          </w:p>
          <w:p>
            <w:pPr>
              <w:autoSpaceDE w:val="0"/>
              <w:autoSpaceDN w:val="0"/>
              <w:adjustRightInd w:val="0"/>
              <w:snapToGrid w:val="0"/>
              <w:jc w:val="center"/>
              <w:rPr>
                <w:rFonts w:ascii="仿宋_GB2312" w:hAnsi="仿宋_GB2312" w:eastAsia="仿宋_GB2312" w:cs="仿宋_GB2312"/>
                <w:kern w:val="0"/>
                <w:sz w:val="32"/>
                <w:szCs w:val="32"/>
              </w:rPr>
            </w:pPr>
            <w:r>
              <w:rPr>
                <w:rFonts w:hint="eastAsia" w:ascii="仿宋_GB2312" w:hAnsi="仿宋_GB2312" w:eastAsia="仿宋_GB2312" w:cs="仿宋_GB2312"/>
                <w:b/>
                <w:bCs/>
                <w:kern w:val="0"/>
                <w:sz w:val="24"/>
                <w:szCs w:val="24"/>
              </w:rPr>
              <w:t>指标体系</w:t>
            </w:r>
          </w:p>
        </w:tc>
        <w:tc>
          <w:tcPr>
            <w:tcW w:w="1770" w:type="dxa"/>
            <w:vAlign w:val="center"/>
          </w:tcPr>
          <w:p>
            <w:pPr>
              <w:autoSpaceDE w:val="0"/>
              <w:autoSpaceDN w:val="0"/>
              <w:adjustRightInd w:val="0"/>
              <w:snapToGrid w:val="0"/>
              <w:jc w:val="center"/>
              <w:rPr>
                <w:rFonts w:ascii="仿宋_GB2312" w:hAnsi="仿宋_GB2312" w:eastAsia="仿宋_GB2312" w:cs="仿宋_GB2312"/>
                <w:b/>
                <w:bCs/>
                <w:kern w:val="0"/>
                <w:sz w:val="24"/>
                <w:szCs w:val="24"/>
              </w:rPr>
            </w:pPr>
          </w:p>
          <w:p>
            <w:pPr>
              <w:autoSpaceDE w:val="0"/>
              <w:autoSpaceDN w:val="0"/>
              <w:adjustRightInd w:val="0"/>
              <w:snapToGrid w:val="0"/>
              <w:jc w:val="center"/>
              <w:rPr>
                <w:rFonts w:ascii="仿宋_GB2312" w:hAnsi="仿宋_GB2312" w:eastAsia="仿宋_GB2312" w:cs="仿宋_GB2312"/>
                <w:kern w:val="0"/>
                <w:sz w:val="32"/>
                <w:szCs w:val="32"/>
              </w:rPr>
            </w:pPr>
            <w:r>
              <w:rPr>
                <w:rFonts w:hint="eastAsia" w:ascii="仿宋_GB2312" w:hAnsi="仿宋_GB2312" w:eastAsia="仿宋_GB2312" w:cs="仿宋_GB2312"/>
                <w:b/>
                <w:bCs/>
                <w:kern w:val="0"/>
                <w:sz w:val="24"/>
                <w:szCs w:val="24"/>
              </w:rPr>
              <w:t>赋分项</w:t>
            </w:r>
          </w:p>
        </w:tc>
        <w:tc>
          <w:tcPr>
            <w:tcW w:w="2625" w:type="dxa"/>
            <w:vAlign w:val="center"/>
          </w:tcPr>
          <w:p>
            <w:pPr>
              <w:autoSpaceDE w:val="0"/>
              <w:autoSpaceDN w:val="0"/>
              <w:adjustRightInd w:val="0"/>
              <w:snapToGrid w:val="0"/>
              <w:jc w:val="center"/>
              <w:rPr>
                <w:rFonts w:ascii="仿宋_GB2312" w:hAnsi="仿宋_GB2312" w:eastAsia="仿宋_GB2312" w:cs="仿宋_GB2312"/>
                <w:b/>
                <w:bCs/>
                <w:kern w:val="0"/>
                <w:sz w:val="24"/>
                <w:szCs w:val="24"/>
              </w:rPr>
            </w:pPr>
          </w:p>
          <w:p>
            <w:pPr>
              <w:autoSpaceDE w:val="0"/>
              <w:autoSpaceDN w:val="0"/>
              <w:adjustRightInd w:val="0"/>
              <w:snapToGrid w:val="0"/>
              <w:jc w:val="center"/>
              <w:rPr>
                <w:rFonts w:ascii="仿宋_GB2312" w:hAnsi="仿宋_GB2312" w:eastAsia="仿宋_GB2312" w:cs="仿宋_GB2312"/>
                <w:kern w:val="0"/>
                <w:sz w:val="32"/>
                <w:szCs w:val="32"/>
              </w:rPr>
            </w:pPr>
            <w:r>
              <w:rPr>
                <w:rFonts w:hint="eastAsia" w:ascii="仿宋_GB2312" w:hAnsi="仿宋_GB2312" w:eastAsia="仿宋_GB2312" w:cs="仿宋_GB2312"/>
                <w:b/>
                <w:bCs/>
                <w:kern w:val="0"/>
                <w:sz w:val="24"/>
                <w:szCs w:val="24"/>
              </w:rPr>
              <w:t>赋分细则</w:t>
            </w:r>
          </w:p>
        </w:tc>
        <w:tc>
          <w:tcPr>
            <w:tcW w:w="1440" w:type="dxa"/>
            <w:vAlign w:val="center"/>
          </w:tcPr>
          <w:p>
            <w:pPr>
              <w:autoSpaceDE w:val="0"/>
              <w:autoSpaceDN w:val="0"/>
              <w:adjustRightInd w:val="0"/>
              <w:snapToGrid w:val="0"/>
              <w:jc w:val="center"/>
              <w:rPr>
                <w:rFonts w:ascii="仿宋_GB2312" w:hAnsi="仿宋_GB2312" w:eastAsia="仿宋_GB2312" w:cs="仿宋_GB2312"/>
                <w:b/>
                <w:bCs/>
                <w:kern w:val="0"/>
                <w:sz w:val="24"/>
                <w:szCs w:val="24"/>
              </w:rPr>
            </w:pPr>
          </w:p>
          <w:p>
            <w:pPr>
              <w:autoSpaceDE w:val="0"/>
              <w:autoSpaceDN w:val="0"/>
              <w:adjustRightInd w:val="0"/>
              <w:snapToGrid w:val="0"/>
              <w:jc w:val="center"/>
              <w:rPr>
                <w:rFonts w:ascii="仿宋_GB2312" w:hAnsi="仿宋_GB2312" w:eastAsia="仿宋_GB2312" w:cs="仿宋_GB2312"/>
                <w:kern w:val="0"/>
                <w:sz w:val="32"/>
                <w:szCs w:val="32"/>
              </w:rPr>
            </w:pPr>
            <w:r>
              <w:rPr>
                <w:rFonts w:hint="eastAsia" w:ascii="仿宋_GB2312" w:hAnsi="仿宋_GB2312" w:eastAsia="仿宋_GB2312" w:cs="仿宋_GB2312"/>
                <w:b/>
                <w:bCs/>
                <w:kern w:val="0"/>
                <w:sz w:val="24"/>
                <w:szCs w:val="24"/>
              </w:rPr>
              <w:t>分值</w:t>
            </w:r>
          </w:p>
        </w:tc>
        <w:tc>
          <w:tcPr>
            <w:tcW w:w="2262" w:type="dxa"/>
            <w:vAlign w:val="center"/>
          </w:tcPr>
          <w:p>
            <w:pPr>
              <w:autoSpaceDE w:val="0"/>
              <w:autoSpaceDN w:val="0"/>
              <w:adjustRightInd w:val="0"/>
              <w:snapToGrid w:val="0"/>
              <w:jc w:val="center"/>
              <w:rPr>
                <w:rFonts w:ascii="仿宋_GB2312" w:hAnsi="仿宋_GB2312" w:eastAsia="仿宋_GB2312" w:cs="仿宋_GB2312"/>
                <w:b/>
                <w:bCs/>
                <w:kern w:val="0"/>
                <w:sz w:val="24"/>
                <w:szCs w:val="24"/>
              </w:rPr>
            </w:pPr>
          </w:p>
          <w:p>
            <w:pPr>
              <w:autoSpaceDE w:val="0"/>
              <w:autoSpaceDN w:val="0"/>
              <w:adjustRightInd w:val="0"/>
              <w:snapToGrid w:val="0"/>
              <w:jc w:val="center"/>
              <w:rPr>
                <w:rFonts w:ascii="仿宋_GB2312" w:hAnsi="仿宋_GB2312" w:eastAsia="仿宋_GB2312" w:cs="仿宋_GB2312"/>
                <w:kern w:val="0"/>
                <w:sz w:val="32"/>
                <w:szCs w:val="32"/>
              </w:rPr>
            </w:pPr>
            <w:r>
              <w:rPr>
                <w:rFonts w:hint="eastAsia" w:ascii="仿宋_GB2312" w:hAnsi="仿宋_GB2312" w:eastAsia="仿宋_GB2312" w:cs="仿宋_GB2312"/>
                <w:b/>
                <w:bCs/>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516" w:type="dxa"/>
            <w:vMerge w:val="restart"/>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文艺、体育、实践、志愿服务方面表现</w:t>
            </w:r>
          </w:p>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（10分）</w:t>
            </w:r>
          </w:p>
        </w:tc>
        <w:tc>
          <w:tcPr>
            <w:tcW w:w="1770" w:type="dxa"/>
            <w:vMerge w:val="restart"/>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社会实践类活动</w:t>
            </w:r>
          </w:p>
        </w:tc>
        <w:tc>
          <w:tcPr>
            <w:tcW w:w="2625"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参与社会实践类活动</w:t>
            </w:r>
          </w:p>
        </w:tc>
        <w:tc>
          <w:tcPr>
            <w:tcW w:w="1440"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每次0.5分</w:t>
            </w:r>
          </w:p>
        </w:tc>
        <w:tc>
          <w:tcPr>
            <w:tcW w:w="2262" w:type="dxa"/>
            <w:vMerge w:val="restart"/>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上限1分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16"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1770"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2625"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到国际组织实习</w:t>
            </w:r>
          </w:p>
        </w:tc>
        <w:tc>
          <w:tcPr>
            <w:tcW w:w="1440"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1分</w:t>
            </w:r>
          </w:p>
        </w:tc>
        <w:tc>
          <w:tcPr>
            <w:tcW w:w="2262"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16" w:type="dxa"/>
            <w:vMerge w:val="continue"/>
          </w:tcPr>
          <w:p>
            <w:pPr>
              <w:autoSpaceDE w:val="0"/>
              <w:autoSpaceDN w:val="0"/>
              <w:adjustRightInd w:val="0"/>
              <w:snapToGrid w:val="0"/>
              <w:rPr>
                <w:rFonts w:ascii="仿宋_GB2312" w:hAnsi="仿宋_GB2312" w:eastAsia="仿宋_GB2312" w:cs="仿宋_GB2312"/>
                <w:kern w:val="0"/>
                <w:sz w:val="24"/>
                <w:szCs w:val="24"/>
              </w:rPr>
            </w:pPr>
          </w:p>
        </w:tc>
        <w:tc>
          <w:tcPr>
            <w:tcW w:w="1770" w:type="dxa"/>
            <w:vMerge w:val="restart"/>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社会实践类获奖</w:t>
            </w:r>
          </w:p>
        </w:tc>
        <w:tc>
          <w:tcPr>
            <w:tcW w:w="2625"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国家级</w:t>
            </w:r>
          </w:p>
        </w:tc>
        <w:tc>
          <w:tcPr>
            <w:tcW w:w="1440"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2分</w:t>
            </w:r>
          </w:p>
        </w:tc>
        <w:tc>
          <w:tcPr>
            <w:tcW w:w="2262" w:type="dxa"/>
            <w:vMerge w:val="restart"/>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上限2分</w:t>
            </w:r>
          </w:p>
          <w:p>
            <w:pPr>
              <w:autoSpaceDE w:val="0"/>
              <w:autoSpaceDN w:val="0"/>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Cs w:val="21"/>
              </w:rPr>
              <w:t>多人获奖时参照学术科技类获奖计算方法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516" w:type="dxa"/>
            <w:vMerge w:val="continue"/>
          </w:tcPr>
          <w:p>
            <w:pPr>
              <w:autoSpaceDE w:val="0"/>
              <w:autoSpaceDN w:val="0"/>
              <w:adjustRightInd w:val="0"/>
              <w:snapToGrid w:val="0"/>
              <w:rPr>
                <w:rFonts w:ascii="仿宋_GB2312" w:hAnsi="仿宋_GB2312" w:eastAsia="仿宋_GB2312" w:cs="仿宋_GB2312"/>
                <w:kern w:val="0"/>
                <w:sz w:val="24"/>
                <w:szCs w:val="24"/>
              </w:rPr>
            </w:pPr>
          </w:p>
        </w:tc>
        <w:tc>
          <w:tcPr>
            <w:tcW w:w="1770"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2625"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省、部级</w:t>
            </w:r>
          </w:p>
        </w:tc>
        <w:tc>
          <w:tcPr>
            <w:tcW w:w="1440"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1分</w:t>
            </w:r>
          </w:p>
        </w:tc>
        <w:tc>
          <w:tcPr>
            <w:tcW w:w="2262" w:type="dxa"/>
            <w:vMerge w:val="continue"/>
          </w:tcPr>
          <w:p>
            <w:pPr>
              <w:autoSpaceDE w:val="0"/>
              <w:autoSpaceDN w:val="0"/>
              <w:adjustRightInd w:val="0"/>
              <w:snapToGrid w:val="0"/>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516" w:type="dxa"/>
            <w:vMerge w:val="continue"/>
          </w:tcPr>
          <w:p>
            <w:pPr>
              <w:autoSpaceDE w:val="0"/>
              <w:autoSpaceDN w:val="0"/>
              <w:adjustRightInd w:val="0"/>
              <w:snapToGrid w:val="0"/>
              <w:rPr>
                <w:rFonts w:ascii="仿宋_GB2312" w:hAnsi="仿宋_GB2312" w:eastAsia="仿宋_GB2312" w:cs="仿宋_GB2312"/>
                <w:kern w:val="0"/>
                <w:sz w:val="24"/>
                <w:szCs w:val="24"/>
              </w:rPr>
            </w:pPr>
          </w:p>
        </w:tc>
        <w:tc>
          <w:tcPr>
            <w:tcW w:w="1770" w:type="dxa"/>
            <w:vMerge w:val="continue"/>
            <w:vAlign w:val="center"/>
          </w:tcPr>
          <w:p>
            <w:pPr>
              <w:autoSpaceDE w:val="0"/>
              <w:autoSpaceDN w:val="0"/>
              <w:adjustRightInd w:val="0"/>
              <w:snapToGrid w:val="0"/>
              <w:jc w:val="center"/>
              <w:rPr>
                <w:rFonts w:ascii="仿宋_GB2312" w:hAnsi="仿宋_GB2312" w:eastAsia="仿宋_GB2312" w:cs="仿宋_GB2312"/>
                <w:kern w:val="0"/>
                <w:sz w:val="24"/>
                <w:szCs w:val="24"/>
              </w:rPr>
            </w:pPr>
          </w:p>
        </w:tc>
        <w:tc>
          <w:tcPr>
            <w:tcW w:w="2625"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校级</w:t>
            </w:r>
          </w:p>
        </w:tc>
        <w:tc>
          <w:tcPr>
            <w:tcW w:w="1440"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0.5分</w:t>
            </w:r>
          </w:p>
        </w:tc>
        <w:tc>
          <w:tcPr>
            <w:tcW w:w="2262" w:type="dxa"/>
            <w:vMerge w:val="continue"/>
          </w:tcPr>
          <w:p>
            <w:pPr>
              <w:autoSpaceDE w:val="0"/>
              <w:autoSpaceDN w:val="0"/>
              <w:adjustRightInd w:val="0"/>
              <w:snapToGrid w:val="0"/>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16" w:type="dxa"/>
            <w:vMerge w:val="continue"/>
          </w:tcPr>
          <w:p>
            <w:pPr>
              <w:autoSpaceDE w:val="0"/>
              <w:autoSpaceDN w:val="0"/>
              <w:adjustRightInd w:val="0"/>
              <w:snapToGrid w:val="0"/>
              <w:rPr>
                <w:rFonts w:ascii="仿宋_GB2312" w:hAnsi="仿宋_GB2312" w:eastAsia="仿宋_GB2312" w:cs="仿宋_GB2312"/>
                <w:kern w:val="0"/>
                <w:sz w:val="24"/>
                <w:szCs w:val="24"/>
              </w:rPr>
            </w:pPr>
          </w:p>
        </w:tc>
        <w:tc>
          <w:tcPr>
            <w:tcW w:w="1770"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文体类活动</w:t>
            </w:r>
          </w:p>
        </w:tc>
        <w:tc>
          <w:tcPr>
            <w:tcW w:w="2625"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参与文艺、体育类活动</w:t>
            </w:r>
          </w:p>
        </w:tc>
        <w:tc>
          <w:tcPr>
            <w:tcW w:w="1440"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每次0.5分</w:t>
            </w:r>
          </w:p>
        </w:tc>
        <w:tc>
          <w:tcPr>
            <w:tcW w:w="2262"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上限1分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16" w:type="dxa"/>
            <w:vMerge w:val="continue"/>
          </w:tcPr>
          <w:p>
            <w:pPr>
              <w:autoSpaceDE w:val="0"/>
              <w:autoSpaceDN w:val="0"/>
              <w:adjustRightInd w:val="0"/>
              <w:snapToGrid w:val="0"/>
              <w:rPr>
                <w:rFonts w:ascii="仿宋_GB2312" w:hAnsi="仿宋_GB2312" w:eastAsia="仿宋_GB2312" w:cs="仿宋_GB2312"/>
                <w:kern w:val="0"/>
                <w:sz w:val="24"/>
                <w:szCs w:val="24"/>
              </w:rPr>
            </w:pPr>
          </w:p>
        </w:tc>
        <w:tc>
          <w:tcPr>
            <w:tcW w:w="1770" w:type="dxa"/>
            <w:vMerge w:val="restart"/>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文体类获奖</w:t>
            </w:r>
          </w:p>
        </w:tc>
        <w:tc>
          <w:tcPr>
            <w:tcW w:w="2625"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国家级</w:t>
            </w:r>
          </w:p>
        </w:tc>
        <w:tc>
          <w:tcPr>
            <w:tcW w:w="1440"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2分</w:t>
            </w:r>
          </w:p>
        </w:tc>
        <w:tc>
          <w:tcPr>
            <w:tcW w:w="2262" w:type="dxa"/>
            <w:vMerge w:val="restart"/>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上限2分</w:t>
            </w:r>
          </w:p>
          <w:p>
            <w:pPr>
              <w:autoSpaceDE w:val="0"/>
              <w:autoSpaceDN w:val="0"/>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Cs w:val="21"/>
              </w:rPr>
              <w:t>多人获奖时参照学术科技类获奖计算方法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516" w:type="dxa"/>
            <w:vMerge w:val="continue"/>
          </w:tcPr>
          <w:p>
            <w:pPr>
              <w:autoSpaceDE w:val="0"/>
              <w:autoSpaceDN w:val="0"/>
              <w:adjustRightInd w:val="0"/>
              <w:snapToGrid w:val="0"/>
              <w:rPr>
                <w:rFonts w:ascii="仿宋_GB2312" w:hAnsi="仿宋_GB2312" w:eastAsia="仿宋_GB2312" w:cs="仿宋_GB2312"/>
                <w:kern w:val="0"/>
                <w:sz w:val="24"/>
                <w:szCs w:val="24"/>
              </w:rPr>
            </w:pPr>
          </w:p>
        </w:tc>
        <w:tc>
          <w:tcPr>
            <w:tcW w:w="1770" w:type="dxa"/>
            <w:vMerge w:val="continue"/>
          </w:tcPr>
          <w:p>
            <w:pPr>
              <w:autoSpaceDE w:val="0"/>
              <w:autoSpaceDN w:val="0"/>
              <w:adjustRightInd w:val="0"/>
              <w:snapToGrid w:val="0"/>
              <w:rPr>
                <w:rFonts w:ascii="仿宋_GB2312" w:hAnsi="仿宋_GB2312" w:eastAsia="仿宋_GB2312" w:cs="仿宋_GB2312"/>
                <w:kern w:val="0"/>
                <w:sz w:val="24"/>
                <w:szCs w:val="24"/>
              </w:rPr>
            </w:pPr>
          </w:p>
        </w:tc>
        <w:tc>
          <w:tcPr>
            <w:tcW w:w="2625"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省、部级</w:t>
            </w:r>
          </w:p>
        </w:tc>
        <w:tc>
          <w:tcPr>
            <w:tcW w:w="1440"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1分</w:t>
            </w:r>
          </w:p>
        </w:tc>
        <w:tc>
          <w:tcPr>
            <w:tcW w:w="2262" w:type="dxa"/>
            <w:vMerge w:val="continue"/>
          </w:tcPr>
          <w:p>
            <w:pPr>
              <w:autoSpaceDE w:val="0"/>
              <w:autoSpaceDN w:val="0"/>
              <w:adjustRightInd w:val="0"/>
              <w:snapToGrid w:val="0"/>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516" w:type="dxa"/>
            <w:vMerge w:val="continue"/>
          </w:tcPr>
          <w:p>
            <w:pPr>
              <w:autoSpaceDE w:val="0"/>
              <w:autoSpaceDN w:val="0"/>
              <w:adjustRightInd w:val="0"/>
              <w:snapToGrid w:val="0"/>
              <w:rPr>
                <w:rFonts w:ascii="仿宋_GB2312" w:hAnsi="仿宋_GB2312" w:eastAsia="仿宋_GB2312" w:cs="仿宋_GB2312"/>
                <w:kern w:val="0"/>
                <w:sz w:val="24"/>
                <w:szCs w:val="24"/>
              </w:rPr>
            </w:pPr>
          </w:p>
        </w:tc>
        <w:tc>
          <w:tcPr>
            <w:tcW w:w="1770" w:type="dxa"/>
            <w:vMerge w:val="continue"/>
          </w:tcPr>
          <w:p>
            <w:pPr>
              <w:autoSpaceDE w:val="0"/>
              <w:autoSpaceDN w:val="0"/>
              <w:adjustRightInd w:val="0"/>
              <w:snapToGrid w:val="0"/>
              <w:rPr>
                <w:rFonts w:ascii="仿宋_GB2312" w:hAnsi="仿宋_GB2312" w:eastAsia="仿宋_GB2312" w:cs="仿宋_GB2312"/>
                <w:kern w:val="0"/>
                <w:sz w:val="24"/>
                <w:szCs w:val="24"/>
              </w:rPr>
            </w:pPr>
          </w:p>
        </w:tc>
        <w:tc>
          <w:tcPr>
            <w:tcW w:w="2625"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校级</w:t>
            </w:r>
          </w:p>
        </w:tc>
        <w:tc>
          <w:tcPr>
            <w:tcW w:w="1440"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0.5分</w:t>
            </w:r>
          </w:p>
        </w:tc>
        <w:tc>
          <w:tcPr>
            <w:tcW w:w="2262" w:type="dxa"/>
            <w:vMerge w:val="continue"/>
          </w:tcPr>
          <w:p>
            <w:pPr>
              <w:autoSpaceDE w:val="0"/>
              <w:autoSpaceDN w:val="0"/>
              <w:adjustRightInd w:val="0"/>
              <w:snapToGrid w:val="0"/>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516" w:type="dxa"/>
            <w:vMerge w:val="continue"/>
          </w:tcPr>
          <w:p>
            <w:pPr>
              <w:autoSpaceDE w:val="0"/>
              <w:autoSpaceDN w:val="0"/>
              <w:adjustRightInd w:val="0"/>
              <w:snapToGrid w:val="0"/>
              <w:rPr>
                <w:rFonts w:ascii="仿宋_GB2312" w:hAnsi="仿宋_GB2312" w:eastAsia="仿宋_GB2312" w:cs="仿宋_GB2312"/>
                <w:kern w:val="0"/>
                <w:sz w:val="24"/>
                <w:szCs w:val="24"/>
              </w:rPr>
            </w:pPr>
          </w:p>
        </w:tc>
        <w:tc>
          <w:tcPr>
            <w:tcW w:w="1770"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志愿服务活动</w:t>
            </w:r>
          </w:p>
        </w:tc>
        <w:tc>
          <w:tcPr>
            <w:tcW w:w="2625"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参与志愿服务活动</w:t>
            </w:r>
          </w:p>
        </w:tc>
        <w:tc>
          <w:tcPr>
            <w:tcW w:w="1440"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每次0.5分</w:t>
            </w:r>
          </w:p>
        </w:tc>
        <w:tc>
          <w:tcPr>
            <w:tcW w:w="2262"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上限2分</w:t>
            </w:r>
          </w:p>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2"/>
                <w:szCs w:val="24"/>
              </w:rPr>
              <w:t>与社会实践不重复计分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6" w:type="dxa"/>
            <w:vMerge w:val="continue"/>
          </w:tcPr>
          <w:p>
            <w:pPr>
              <w:autoSpaceDE w:val="0"/>
              <w:autoSpaceDN w:val="0"/>
              <w:adjustRightInd w:val="0"/>
              <w:snapToGrid w:val="0"/>
              <w:rPr>
                <w:rFonts w:ascii="仿宋_GB2312" w:hAnsi="仿宋_GB2312" w:eastAsia="仿宋_GB2312" w:cs="仿宋_GB2312"/>
                <w:kern w:val="0"/>
                <w:sz w:val="24"/>
                <w:szCs w:val="24"/>
              </w:rPr>
            </w:pPr>
          </w:p>
        </w:tc>
        <w:tc>
          <w:tcPr>
            <w:tcW w:w="1770" w:type="dxa"/>
            <w:vMerge w:val="restart"/>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志愿服务获奖</w:t>
            </w:r>
          </w:p>
        </w:tc>
        <w:tc>
          <w:tcPr>
            <w:tcW w:w="2625"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国家级</w:t>
            </w:r>
          </w:p>
        </w:tc>
        <w:tc>
          <w:tcPr>
            <w:tcW w:w="1440"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2分</w:t>
            </w:r>
          </w:p>
        </w:tc>
        <w:tc>
          <w:tcPr>
            <w:tcW w:w="2262" w:type="dxa"/>
            <w:vMerge w:val="restart"/>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上限2分</w:t>
            </w:r>
          </w:p>
          <w:p>
            <w:pPr>
              <w:autoSpaceDE w:val="0"/>
              <w:autoSpaceDN w:val="0"/>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Cs w:val="21"/>
              </w:rPr>
              <w:t>多人获奖时参照学术科技类获奖计算方法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6" w:type="dxa"/>
            <w:vMerge w:val="continue"/>
          </w:tcPr>
          <w:p>
            <w:pPr>
              <w:autoSpaceDE w:val="0"/>
              <w:autoSpaceDN w:val="0"/>
              <w:adjustRightInd w:val="0"/>
              <w:snapToGrid w:val="0"/>
              <w:rPr>
                <w:rFonts w:ascii="仿宋_GB2312" w:hAnsi="仿宋_GB2312" w:eastAsia="仿宋_GB2312" w:cs="仿宋_GB2312"/>
                <w:kern w:val="0"/>
                <w:sz w:val="24"/>
                <w:szCs w:val="24"/>
              </w:rPr>
            </w:pPr>
          </w:p>
        </w:tc>
        <w:tc>
          <w:tcPr>
            <w:tcW w:w="1770" w:type="dxa"/>
            <w:vMerge w:val="continue"/>
          </w:tcPr>
          <w:p>
            <w:pPr>
              <w:autoSpaceDE w:val="0"/>
              <w:autoSpaceDN w:val="0"/>
              <w:adjustRightInd w:val="0"/>
              <w:snapToGrid w:val="0"/>
              <w:rPr>
                <w:rFonts w:ascii="仿宋_GB2312" w:hAnsi="仿宋_GB2312" w:eastAsia="仿宋_GB2312" w:cs="仿宋_GB2312"/>
                <w:kern w:val="0"/>
                <w:sz w:val="24"/>
                <w:szCs w:val="24"/>
              </w:rPr>
            </w:pPr>
          </w:p>
        </w:tc>
        <w:tc>
          <w:tcPr>
            <w:tcW w:w="2625"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省、部级</w:t>
            </w:r>
          </w:p>
        </w:tc>
        <w:tc>
          <w:tcPr>
            <w:tcW w:w="1440"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1分</w:t>
            </w:r>
          </w:p>
        </w:tc>
        <w:tc>
          <w:tcPr>
            <w:tcW w:w="2262" w:type="dxa"/>
            <w:vMerge w:val="continue"/>
          </w:tcPr>
          <w:p>
            <w:pPr>
              <w:autoSpaceDE w:val="0"/>
              <w:autoSpaceDN w:val="0"/>
              <w:adjustRightInd w:val="0"/>
              <w:snapToGrid w:val="0"/>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6" w:type="dxa"/>
            <w:vMerge w:val="continue"/>
          </w:tcPr>
          <w:p>
            <w:pPr>
              <w:autoSpaceDE w:val="0"/>
              <w:autoSpaceDN w:val="0"/>
              <w:adjustRightInd w:val="0"/>
              <w:snapToGrid w:val="0"/>
              <w:rPr>
                <w:rFonts w:ascii="仿宋_GB2312" w:hAnsi="仿宋_GB2312" w:eastAsia="仿宋_GB2312" w:cs="仿宋_GB2312"/>
                <w:kern w:val="0"/>
                <w:sz w:val="24"/>
                <w:szCs w:val="24"/>
              </w:rPr>
            </w:pPr>
          </w:p>
        </w:tc>
        <w:tc>
          <w:tcPr>
            <w:tcW w:w="1770" w:type="dxa"/>
            <w:vMerge w:val="continue"/>
          </w:tcPr>
          <w:p>
            <w:pPr>
              <w:autoSpaceDE w:val="0"/>
              <w:autoSpaceDN w:val="0"/>
              <w:adjustRightInd w:val="0"/>
              <w:snapToGrid w:val="0"/>
              <w:rPr>
                <w:rFonts w:ascii="仿宋_GB2312" w:hAnsi="仿宋_GB2312" w:eastAsia="仿宋_GB2312" w:cs="仿宋_GB2312"/>
                <w:kern w:val="0"/>
                <w:sz w:val="24"/>
                <w:szCs w:val="24"/>
              </w:rPr>
            </w:pPr>
          </w:p>
        </w:tc>
        <w:tc>
          <w:tcPr>
            <w:tcW w:w="2625"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校级</w:t>
            </w:r>
          </w:p>
        </w:tc>
        <w:tc>
          <w:tcPr>
            <w:tcW w:w="1440" w:type="dxa"/>
            <w:vAlign w:val="center"/>
          </w:tcPr>
          <w:p>
            <w:pPr>
              <w:autoSpaceDE w:val="0"/>
              <w:autoSpaceDN w:val="0"/>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0.5分</w:t>
            </w:r>
          </w:p>
        </w:tc>
        <w:tc>
          <w:tcPr>
            <w:tcW w:w="2262" w:type="dxa"/>
            <w:vMerge w:val="continue"/>
          </w:tcPr>
          <w:p>
            <w:pPr>
              <w:autoSpaceDE w:val="0"/>
              <w:autoSpaceDN w:val="0"/>
              <w:adjustRightInd w:val="0"/>
              <w:snapToGrid w:val="0"/>
              <w:rPr>
                <w:rFonts w:ascii="仿宋_GB2312" w:hAnsi="仿宋_GB2312" w:eastAsia="仿宋_GB2312" w:cs="仿宋_GB2312"/>
                <w:kern w:val="0"/>
                <w:sz w:val="24"/>
                <w:szCs w:val="24"/>
              </w:rPr>
            </w:pPr>
          </w:p>
        </w:tc>
      </w:tr>
    </w:tbl>
    <w:p>
      <w:pPr>
        <w:autoSpaceDE w:val="0"/>
        <w:autoSpaceDN w:val="0"/>
        <w:adjustRightInd w:val="0"/>
        <w:snapToGrid w:val="0"/>
        <w:rPr>
          <w:rFonts w:ascii="仿宋_GB2312" w:hAnsi="仿宋_GB2312" w:eastAsia="仿宋_GB2312" w:cs="仿宋_GB2312"/>
          <w:kern w:val="0"/>
          <w:sz w:val="32"/>
          <w:szCs w:val="32"/>
        </w:rPr>
      </w:pPr>
    </w:p>
    <w:p>
      <w:pPr>
        <w:autoSpaceDE w:val="0"/>
        <w:autoSpaceDN w:val="0"/>
        <w:adjustRightInd w:val="0"/>
        <w:spacing w:before="146" w:beforeLines="50" w:after="146" w:afterLines="50" w:line="360" w:lineRule="auto"/>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第八章 附  则</w:t>
      </w:r>
    </w:p>
    <w:p>
      <w:pPr>
        <w:autoSpaceDE w:val="0"/>
        <w:autoSpaceDN w:val="0"/>
        <w:adjustRightInd w:val="0"/>
        <w:spacing w:line="360" w:lineRule="auto"/>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第十九条  </w:t>
      </w:r>
      <w:r>
        <w:rPr>
          <w:rFonts w:hint="eastAsia" w:ascii="仿宋_GB2312" w:hAnsi="仿宋_GB2312" w:eastAsia="仿宋_GB2312" w:cs="仿宋_GB2312"/>
          <w:kern w:val="0"/>
          <w:sz w:val="32"/>
          <w:szCs w:val="32"/>
        </w:rPr>
        <w:t>学校与获得推免生资格的学生签订诚信承诺协议，取得推免生资格后，出现下列情况之一，将取消其推荐资格：</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（一）经查实在推荐过程中存在弄虚作假、营私舞弊的；</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（二）受违法违纪处理中的；</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（三）必修课成绩不及格的；</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（四）报名参加全国硕士研究生招生统一考试的；</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（五）自行联系出国的；</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（六）自行就业的；</w:t>
      </w:r>
    </w:p>
    <w:p>
      <w:pPr>
        <w:autoSpaceDE w:val="0"/>
        <w:autoSpaceDN w:val="0"/>
        <w:adjustRightIn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（七）其他应当给予取消推荐资格的。</w:t>
      </w:r>
    </w:p>
    <w:p>
      <w:pPr>
        <w:spacing w:line="360" w:lineRule="auto"/>
        <w:ind w:firstLine="643"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第二十条</w:t>
      </w:r>
      <w:r>
        <w:rPr>
          <w:rFonts w:hint="eastAsia" w:ascii="仿宋_GB2312" w:hAnsi="仿宋_GB2312" w:eastAsia="仿宋_GB2312" w:cs="仿宋_GB2312"/>
          <w:snapToGrid w:val="0"/>
          <w:kern w:val="0"/>
          <w:sz w:val="32"/>
          <w:szCs w:val="32"/>
        </w:rPr>
        <w:t xml:space="preserve"> 本细则随天津科技大学相关规定的变动而进行相应修订，未涉及的其他事宜，由学院推荐免试研究生遴选工作小组研究决定。</w:t>
      </w:r>
    </w:p>
    <w:p>
      <w:pPr>
        <w:spacing w:line="360" w:lineRule="auto"/>
        <w:ind w:firstLine="643"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第二十一条</w:t>
      </w:r>
      <w:r>
        <w:rPr>
          <w:rFonts w:hint="eastAsia" w:ascii="仿宋_GB2312" w:hAnsi="仿宋_GB2312" w:eastAsia="仿宋_GB2312" w:cs="仿宋_GB2312"/>
          <w:snapToGrid w:val="0"/>
          <w:kern w:val="0"/>
          <w:sz w:val="32"/>
          <w:szCs w:val="32"/>
        </w:rPr>
        <w:t xml:space="preserve"> 本细则自公布之日起施行，由轻工科学与工程院负责解释。</w:t>
      </w:r>
      <w:bookmarkStart w:id="1" w:name="_GoBack"/>
      <w:bookmarkEnd w:id="1"/>
    </w:p>
    <w:p>
      <w:pPr>
        <w:snapToGrid w:val="0"/>
        <w:spacing w:line="360" w:lineRule="auto"/>
        <w:ind w:right="700"/>
        <w:jc w:val="right"/>
        <w:rPr>
          <w:rFonts w:ascii="仿宋_GB2312" w:hAnsi="仿宋_GB2312" w:eastAsia="仿宋_GB2312" w:cs="仿宋_GB2312"/>
          <w:b/>
          <w:kern w:val="0"/>
          <w:sz w:val="32"/>
          <w:szCs w:val="32"/>
        </w:rPr>
      </w:pPr>
    </w:p>
    <w:p>
      <w:pPr>
        <w:snapToGrid w:val="0"/>
        <w:spacing w:line="360" w:lineRule="auto"/>
        <w:ind w:right="700"/>
        <w:jc w:val="right"/>
        <w:rPr>
          <w:rFonts w:ascii="仿宋_GB2312" w:hAnsi="仿宋_GB2312" w:eastAsia="仿宋_GB2312" w:cs="仿宋_GB2312"/>
          <w:b/>
          <w:kern w:val="0"/>
          <w:sz w:val="32"/>
          <w:szCs w:val="32"/>
        </w:rPr>
      </w:pPr>
    </w:p>
    <w:p>
      <w:pPr>
        <w:snapToGrid w:val="0"/>
        <w:spacing w:line="360" w:lineRule="auto"/>
        <w:ind w:right="700"/>
        <w:jc w:val="right"/>
        <w:rPr>
          <w:rFonts w:ascii="仿宋_GB2312" w:hAnsi="仿宋_GB2312" w:eastAsia="仿宋_GB2312" w:cs="仿宋_GB2312"/>
          <w:b/>
          <w:kern w:val="0"/>
          <w:sz w:val="32"/>
          <w:szCs w:val="32"/>
        </w:rPr>
      </w:pPr>
    </w:p>
    <w:p>
      <w:pPr>
        <w:snapToGrid w:val="0"/>
        <w:spacing w:line="360" w:lineRule="auto"/>
        <w:ind w:right="700"/>
        <w:jc w:val="right"/>
        <w:rPr>
          <w:rFonts w:ascii="仿宋_GB2312" w:hAnsi="仿宋_GB2312" w:eastAsia="仿宋_GB2312" w:cs="仿宋_GB2312"/>
          <w:b/>
          <w:kern w:val="0"/>
          <w:sz w:val="32"/>
          <w:szCs w:val="32"/>
        </w:rPr>
      </w:pPr>
    </w:p>
    <w:p>
      <w:pPr>
        <w:spacing w:line="360" w:lineRule="auto"/>
        <w:ind w:firstLine="640" w:firstLineChars="200"/>
        <w:jc w:val="righ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轻工科学与工程学院</w:t>
      </w:r>
    </w:p>
    <w:p>
      <w:pPr>
        <w:spacing w:line="360" w:lineRule="auto"/>
        <w:ind w:firstLine="640" w:firstLineChars="200"/>
        <w:jc w:val="righ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202</w:t>
      </w:r>
      <w:r>
        <w:rPr>
          <w:rFonts w:hint="eastAsia" w:ascii="仿宋_GB2312" w:hAnsi="仿宋_GB2312" w:eastAsia="仿宋_GB2312" w:cs="仿宋_GB2312"/>
          <w:snapToGrid w:val="0"/>
          <w:kern w:val="0"/>
          <w:sz w:val="32"/>
          <w:szCs w:val="32"/>
          <w:lang w:val="en-US" w:eastAsia="zh-CN"/>
        </w:rPr>
        <w:t>3</w:t>
      </w:r>
      <w:r>
        <w:rPr>
          <w:rFonts w:hint="eastAsia" w:ascii="仿宋_GB2312" w:hAnsi="仿宋_GB2312" w:eastAsia="仿宋_GB2312" w:cs="仿宋_GB2312"/>
          <w:snapToGrid w:val="0"/>
          <w:kern w:val="0"/>
          <w:sz w:val="32"/>
          <w:szCs w:val="32"/>
        </w:rPr>
        <w:t>年</w:t>
      </w:r>
      <w:r>
        <w:rPr>
          <w:rFonts w:hint="eastAsia" w:ascii="仿宋_GB2312" w:hAnsi="仿宋_GB2312" w:eastAsia="仿宋_GB2312" w:cs="仿宋_GB2312"/>
          <w:snapToGrid w:val="0"/>
          <w:kern w:val="0"/>
          <w:sz w:val="32"/>
          <w:szCs w:val="32"/>
          <w:lang w:val="en-US" w:eastAsia="zh-CN"/>
        </w:rPr>
        <w:t>9</w:t>
      </w:r>
      <w:r>
        <w:rPr>
          <w:rFonts w:hint="eastAsia" w:ascii="仿宋_GB2312" w:hAnsi="仿宋_GB2312" w:eastAsia="仿宋_GB2312" w:cs="仿宋_GB2312"/>
          <w:snapToGrid w:val="0"/>
          <w:kern w:val="0"/>
          <w:sz w:val="32"/>
          <w:szCs w:val="32"/>
        </w:rPr>
        <w:t>月</w:t>
      </w:r>
      <w:r>
        <w:rPr>
          <w:rFonts w:hint="eastAsia" w:ascii="仿宋_GB2312" w:hAnsi="仿宋_GB2312" w:eastAsia="仿宋_GB2312" w:cs="仿宋_GB2312"/>
          <w:snapToGrid w:val="0"/>
          <w:kern w:val="0"/>
          <w:sz w:val="32"/>
          <w:szCs w:val="32"/>
          <w:lang w:val="en-US" w:eastAsia="zh-CN"/>
        </w:rPr>
        <w:t>4</w:t>
      </w:r>
      <w:r>
        <w:rPr>
          <w:rFonts w:hint="eastAsia" w:ascii="仿宋_GB2312" w:hAnsi="仿宋_GB2312" w:eastAsia="仿宋_GB2312" w:cs="仿宋_GB2312"/>
          <w:snapToGrid w:val="0"/>
          <w:kern w:val="0"/>
          <w:sz w:val="32"/>
          <w:szCs w:val="32"/>
        </w:rPr>
        <w:t>日</w:t>
      </w:r>
    </w:p>
    <w:sectPr>
      <w:footerReference r:id="rId3" w:type="default"/>
      <w:footerReference r:id="rId4" w:type="even"/>
      <w:pgSz w:w="11907" w:h="16840"/>
      <w:pgMar w:top="1312" w:right="1092" w:bottom="1021" w:left="1418" w:header="851" w:footer="992" w:gutter="0"/>
      <w:pgNumType w:fmt="numberInDash"/>
      <w:cols w:space="425" w:num="1"/>
      <w:docGrid w:type="lines" w:linePitch="29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w:t>
    </w:r>
    <w:r>
      <w:t xml:space="preserve"> 10 -</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5"/>
  <w:drawingGridHorizontalSpacing w:val="105"/>
  <w:drawingGridVerticalSpacing w:val="14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NDc0ZGQzMmU2M2IyYzNmYWRhZGM4YjYwYjM5ZmM3ZjUifQ=="/>
  </w:docVars>
  <w:rsids>
    <w:rsidRoot w:val="00081844"/>
    <w:rsid w:val="00004D73"/>
    <w:rsid w:val="000104AA"/>
    <w:rsid w:val="000121B9"/>
    <w:rsid w:val="00013B32"/>
    <w:rsid w:val="00017B89"/>
    <w:rsid w:val="00017D15"/>
    <w:rsid w:val="0002129B"/>
    <w:rsid w:val="000251CF"/>
    <w:rsid w:val="00027712"/>
    <w:rsid w:val="00027971"/>
    <w:rsid w:val="00032072"/>
    <w:rsid w:val="00032A61"/>
    <w:rsid w:val="00034AB9"/>
    <w:rsid w:val="00035511"/>
    <w:rsid w:val="0003701A"/>
    <w:rsid w:val="00052DEA"/>
    <w:rsid w:val="00054F15"/>
    <w:rsid w:val="000577C5"/>
    <w:rsid w:val="0006098E"/>
    <w:rsid w:val="00071991"/>
    <w:rsid w:val="00072CA8"/>
    <w:rsid w:val="00074718"/>
    <w:rsid w:val="00077903"/>
    <w:rsid w:val="00081844"/>
    <w:rsid w:val="00082415"/>
    <w:rsid w:val="0008508B"/>
    <w:rsid w:val="00086710"/>
    <w:rsid w:val="00086900"/>
    <w:rsid w:val="00090319"/>
    <w:rsid w:val="00092591"/>
    <w:rsid w:val="00093C0C"/>
    <w:rsid w:val="0009659D"/>
    <w:rsid w:val="000A1CDD"/>
    <w:rsid w:val="000A4C77"/>
    <w:rsid w:val="000B0361"/>
    <w:rsid w:val="000B3B7C"/>
    <w:rsid w:val="000B44C9"/>
    <w:rsid w:val="000B4B16"/>
    <w:rsid w:val="000B51F1"/>
    <w:rsid w:val="000C32C5"/>
    <w:rsid w:val="000C7583"/>
    <w:rsid w:val="000C7C6C"/>
    <w:rsid w:val="000D1067"/>
    <w:rsid w:val="000D541A"/>
    <w:rsid w:val="000E0CDC"/>
    <w:rsid w:val="000E18C2"/>
    <w:rsid w:val="000E2CAF"/>
    <w:rsid w:val="000E315C"/>
    <w:rsid w:val="000E49DC"/>
    <w:rsid w:val="000E7B93"/>
    <w:rsid w:val="000F544E"/>
    <w:rsid w:val="000F6577"/>
    <w:rsid w:val="00104E34"/>
    <w:rsid w:val="00105772"/>
    <w:rsid w:val="0011051D"/>
    <w:rsid w:val="00112B49"/>
    <w:rsid w:val="00113100"/>
    <w:rsid w:val="00115DFD"/>
    <w:rsid w:val="001171F0"/>
    <w:rsid w:val="001215D7"/>
    <w:rsid w:val="001261EF"/>
    <w:rsid w:val="00127403"/>
    <w:rsid w:val="0013217A"/>
    <w:rsid w:val="00136B75"/>
    <w:rsid w:val="001371B2"/>
    <w:rsid w:val="00141144"/>
    <w:rsid w:val="00142ED9"/>
    <w:rsid w:val="00147421"/>
    <w:rsid w:val="0014792C"/>
    <w:rsid w:val="00152A6B"/>
    <w:rsid w:val="001600B8"/>
    <w:rsid w:val="00161547"/>
    <w:rsid w:val="001643FB"/>
    <w:rsid w:val="0017296A"/>
    <w:rsid w:val="001818BA"/>
    <w:rsid w:val="0018192A"/>
    <w:rsid w:val="00182ACD"/>
    <w:rsid w:val="00185E61"/>
    <w:rsid w:val="0018767C"/>
    <w:rsid w:val="001964F0"/>
    <w:rsid w:val="001A0118"/>
    <w:rsid w:val="001A0AD5"/>
    <w:rsid w:val="001A1EFC"/>
    <w:rsid w:val="001A1FFA"/>
    <w:rsid w:val="001A3A24"/>
    <w:rsid w:val="001A42C3"/>
    <w:rsid w:val="001A555F"/>
    <w:rsid w:val="001A7531"/>
    <w:rsid w:val="001B33DC"/>
    <w:rsid w:val="001B6645"/>
    <w:rsid w:val="001B722D"/>
    <w:rsid w:val="001C038B"/>
    <w:rsid w:val="001C4412"/>
    <w:rsid w:val="001C476D"/>
    <w:rsid w:val="001C7CFA"/>
    <w:rsid w:val="001D0630"/>
    <w:rsid w:val="001D10CD"/>
    <w:rsid w:val="001D4677"/>
    <w:rsid w:val="001D7019"/>
    <w:rsid w:val="001E1A6B"/>
    <w:rsid w:val="001E23CE"/>
    <w:rsid w:val="001E2D15"/>
    <w:rsid w:val="001E47E5"/>
    <w:rsid w:val="001E542C"/>
    <w:rsid w:val="001E5508"/>
    <w:rsid w:val="001F3E53"/>
    <w:rsid w:val="001F4920"/>
    <w:rsid w:val="001F6262"/>
    <w:rsid w:val="001F68D6"/>
    <w:rsid w:val="001F7B51"/>
    <w:rsid w:val="00200C56"/>
    <w:rsid w:val="00206B90"/>
    <w:rsid w:val="00207092"/>
    <w:rsid w:val="002071B2"/>
    <w:rsid w:val="0021097B"/>
    <w:rsid w:val="00215558"/>
    <w:rsid w:val="0021732A"/>
    <w:rsid w:val="00217692"/>
    <w:rsid w:val="00217D11"/>
    <w:rsid w:val="00225A44"/>
    <w:rsid w:val="00227311"/>
    <w:rsid w:val="0023062B"/>
    <w:rsid w:val="00233E31"/>
    <w:rsid w:val="0023543A"/>
    <w:rsid w:val="00236ADA"/>
    <w:rsid w:val="002408CF"/>
    <w:rsid w:val="002430ED"/>
    <w:rsid w:val="00243F81"/>
    <w:rsid w:val="00246B17"/>
    <w:rsid w:val="00246E7A"/>
    <w:rsid w:val="0024719D"/>
    <w:rsid w:val="002515AC"/>
    <w:rsid w:val="00252F7F"/>
    <w:rsid w:val="002533C9"/>
    <w:rsid w:val="00261478"/>
    <w:rsid w:val="00261E0A"/>
    <w:rsid w:val="00264A86"/>
    <w:rsid w:val="00267050"/>
    <w:rsid w:val="00267F7C"/>
    <w:rsid w:val="00271107"/>
    <w:rsid w:val="0027419A"/>
    <w:rsid w:val="00274AA8"/>
    <w:rsid w:val="00280837"/>
    <w:rsid w:val="0028285A"/>
    <w:rsid w:val="0028330B"/>
    <w:rsid w:val="00287AE8"/>
    <w:rsid w:val="00293639"/>
    <w:rsid w:val="00294ED8"/>
    <w:rsid w:val="0029558C"/>
    <w:rsid w:val="002A1B83"/>
    <w:rsid w:val="002A2320"/>
    <w:rsid w:val="002A3336"/>
    <w:rsid w:val="002A5930"/>
    <w:rsid w:val="002A6547"/>
    <w:rsid w:val="002A76CA"/>
    <w:rsid w:val="002B2957"/>
    <w:rsid w:val="002B34CE"/>
    <w:rsid w:val="002B63EC"/>
    <w:rsid w:val="002B653C"/>
    <w:rsid w:val="002C1E12"/>
    <w:rsid w:val="002C22FA"/>
    <w:rsid w:val="002D02FF"/>
    <w:rsid w:val="002D1D02"/>
    <w:rsid w:val="002D224C"/>
    <w:rsid w:val="002D2357"/>
    <w:rsid w:val="002D298F"/>
    <w:rsid w:val="002D454F"/>
    <w:rsid w:val="002D4B87"/>
    <w:rsid w:val="002E0A47"/>
    <w:rsid w:val="002E4FCC"/>
    <w:rsid w:val="002F008B"/>
    <w:rsid w:val="002F0D7C"/>
    <w:rsid w:val="002F2544"/>
    <w:rsid w:val="00301BA0"/>
    <w:rsid w:val="003028E0"/>
    <w:rsid w:val="00307C7C"/>
    <w:rsid w:val="00310870"/>
    <w:rsid w:val="003159DD"/>
    <w:rsid w:val="003317F2"/>
    <w:rsid w:val="003326A8"/>
    <w:rsid w:val="003333D5"/>
    <w:rsid w:val="00334D31"/>
    <w:rsid w:val="00334FCF"/>
    <w:rsid w:val="00336BC4"/>
    <w:rsid w:val="003406A6"/>
    <w:rsid w:val="0034116C"/>
    <w:rsid w:val="0034477A"/>
    <w:rsid w:val="0034530F"/>
    <w:rsid w:val="00345C35"/>
    <w:rsid w:val="00345F88"/>
    <w:rsid w:val="00346242"/>
    <w:rsid w:val="003474FF"/>
    <w:rsid w:val="003530C4"/>
    <w:rsid w:val="0035421F"/>
    <w:rsid w:val="003563EC"/>
    <w:rsid w:val="00356E3C"/>
    <w:rsid w:val="00357BCD"/>
    <w:rsid w:val="0036237B"/>
    <w:rsid w:val="00362531"/>
    <w:rsid w:val="003632DA"/>
    <w:rsid w:val="00365451"/>
    <w:rsid w:val="00370D73"/>
    <w:rsid w:val="00374B78"/>
    <w:rsid w:val="00377089"/>
    <w:rsid w:val="0038180C"/>
    <w:rsid w:val="0038733C"/>
    <w:rsid w:val="00392334"/>
    <w:rsid w:val="003948AA"/>
    <w:rsid w:val="0039666C"/>
    <w:rsid w:val="00397870"/>
    <w:rsid w:val="003A1A6C"/>
    <w:rsid w:val="003A410A"/>
    <w:rsid w:val="003A59C1"/>
    <w:rsid w:val="003B14AD"/>
    <w:rsid w:val="003B1F09"/>
    <w:rsid w:val="003B2B11"/>
    <w:rsid w:val="003C17C0"/>
    <w:rsid w:val="003C47CD"/>
    <w:rsid w:val="003D00A9"/>
    <w:rsid w:val="003D4270"/>
    <w:rsid w:val="003D5A64"/>
    <w:rsid w:val="003E0854"/>
    <w:rsid w:val="003F2008"/>
    <w:rsid w:val="003F220E"/>
    <w:rsid w:val="003F2DA8"/>
    <w:rsid w:val="003F41B2"/>
    <w:rsid w:val="003F5883"/>
    <w:rsid w:val="003F589A"/>
    <w:rsid w:val="003F6EA6"/>
    <w:rsid w:val="0040069F"/>
    <w:rsid w:val="00401572"/>
    <w:rsid w:val="0040352A"/>
    <w:rsid w:val="0040494A"/>
    <w:rsid w:val="00407339"/>
    <w:rsid w:val="00411E00"/>
    <w:rsid w:val="00413701"/>
    <w:rsid w:val="00413E99"/>
    <w:rsid w:val="00414CD6"/>
    <w:rsid w:val="004158ED"/>
    <w:rsid w:val="00417BDC"/>
    <w:rsid w:val="00421086"/>
    <w:rsid w:val="00421C9E"/>
    <w:rsid w:val="004229B4"/>
    <w:rsid w:val="00422E80"/>
    <w:rsid w:val="00423C15"/>
    <w:rsid w:val="00426A73"/>
    <w:rsid w:val="00431F1D"/>
    <w:rsid w:val="004345B1"/>
    <w:rsid w:val="004354BB"/>
    <w:rsid w:val="00436B28"/>
    <w:rsid w:val="00437302"/>
    <w:rsid w:val="00445AE9"/>
    <w:rsid w:val="00446B29"/>
    <w:rsid w:val="004470CD"/>
    <w:rsid w:val="00447940"/>
    <w:rsid w:val="00452380"/>
    <w:rsid w:val="0045300B"/>
    <w:rsid w:val="0045621E"/>
    <w:rsid w:val="00456899"/>
    <w:rsid w:val="004605D6"/>
    <w:rsid w:val="00460EC9"/>
    <w:rsid w:val="004613F6"/>
    <w:rsid w:val="00462142"/>
    <w:rsid w:val="0047070D"/>
    <w:rsid w:val="00483F62"/>
    <w:rsid w:val="0048529E"/>
    <w:rsid w:val="004861F3"/>
    <w:rsid w:val="004908A4"/>
    <w:rsid w:val="00491CFC"/>
    <w:rsid w:val="004949DC"/>
    <w:rsid w:val="0049718C"/>
    <w:rsid w:val="004A1E5E"/>
    <w:rsid w:val="004A609B"/>
    <w:rsid w:val="004A6D73"/>
    <w:rsid w:val="004B2388"/>
    <w:rsid w:val="004B57D0"/>
    <w:rsid w:val="004B6C9C"/>
    <w:rsid w:val="004C6CB0"/>
    <w:rsid w:val="004D066D"/>
    <w:rsid w:val="004D0BD4"/>
    <w:rsid w:val="004D22CD"/>
    <w:rsid w:val="004D2ED9"/>
    <w:rsid w:val="004D318A"/>
    <w:rsid w:val="004D3BB7"/>
    <w:rsid w:val="004D4DAD"/>
    <w:rsid w:val="004D54E4"/>
    <w:rsid w:val="004D58C7"/>
    <w:rsid w:val="004E1079"/>
    <w:rsid w:val="004E1D6A"/>
    <w:rsid w:val="004E2CF8"/>
    <w:rsid w:val="004E3A23"/>
    <w:rsid w:val="004E663A"/>
    <w:rsid w:val="004E7FBE"/>
    <w:rsid w:val="004F41C4"/>
    <w:rsid w:val="00501AAA"/>
    <w:rsid w:val="00501D58"/>
    <w:rsid w:val="005046A9"/>
    <w:rsid w:val="005055CE"/>
    <w:rsid w:val="00511342"/>
    <w:rsid w:val="00511360"/>
    <w:rsid w:val="00514B5A"/>
    <w:rsid w:val="00516C68"/>
    <w:rsid w:val="005170A5"/>
    <w:rsid w:val="00527582"/>
    <w:rsid w:val="00536723"/>
    <w:rsid w:val="00537B9A"/>
    <w:rsid w:val="0054438F"/>
    <w:rsid w:val="00544C64"/>
    <w:rsid w:val="005461A9"/>
    <w:rsid w:val="005500A2"/>
    <w:rsid w:val="00550F20"/>
    <w:rsid w:val="0055436C"/>
    <w:rsid w:val="005544B9"/>
    <w:rsid w:val="00554899"/>
    <w:rsid w:val="005575DE"/>
    <w:rsid w:val="00560D12"/>
    <w:rsid w:val="00560E39"/>
    <w:rsid w:val="00561055"/>
    <w:rsid w:val="00566998"/>
    <w:rsid w:val="005730E3"/>
    <w:rsid w:val="00581F4D"/>
    <w:rsid w:val="00582207"/>
    <w:rsid w:val="00583470"/>
    <w:rsid w:val="0058684B"/>
    <w:rsid w:val="0059045F"/>
    <w:rsid w:val="005912BA"/>
    <w:rsid w:val="00591558"/>
    <w:rsid w:val="0059761E"/>
    <w:rsid w:val="005A16A4"/>
    <w:rsid w:val="005A2EBB"/>
    <w:rsid w:val="005A699F"/>
    <w:rsid w:val="005A7815"/>
    <w:rsid w:val="005B1EB6"/>
    <w:rsid w:val="005B29D1"/>
    <w:rsid w:val="005B29DA"/>
    <w:rsid w:val="005B4719"/>
    <w:rsid w:val="005B6806"/>
    <w:rsid w:val="005B75A6"/>
    <w:rsid w:val="005C0418"/>
    <w:rsid w:val="005C1620"/>
    <w:rsid w:val="005C7790"/>
    <w:rsid w:val="005D0AB5"/>
    <w:rsid w:val="005D10C0"/>
    <w:rsid w:val="005D2461"/>
    <w:rsid w:val="005D7A3A"/>
    <w:rsid w:val="005E02E5"/>
    <w:rsid w:val="005E0579"/>
    <w:rsid w:val="005E0F45"/>
    <w:rsid w:val="005E13A9"/>
    <w:rsid w:val="005E461A"/>
    <w:rsid w:val="005E4B1B"/>
    <w:rsid w:val="005F1B20"/>
    <w:rsid w:val="00602C65"/>
    <w:rsid w:val="006031BB"/>
    <w:rsid w:val="00604FC4"/>
    <w:rsid w:val="00605A2A"/>
    <w:rsid w:val="006118BC"/>
    <w:rsid w:val="00611FF9"/>
    <w:rsid w:val="00614D70"/>
    <w:rsid w:val="00615D2F"/>
    <w:rsid w:val="0062024B"/>
    <w:rsid w:val="00621A4D"/>
    <w:rsid w:val="006221C6"/>
    <w:rsid w:val="006237FB"/>
    <w:rsid w:val="0062415F"/>
    <w:rsid w:val="00634163"/>
    <w:rsid w:val="00634F38"/>
    <w:rsid w:val="0064048F"/>
    <w:rsid w:val="006411B5"/>
    <w:rsid w:val="00643661"/>
    <w:rsid w:val="00643AFC"/>
    <w:rsid w:val="00652997"/>
    <w:rsid w:val="00664001"/>
    <w:rsid w:val="006647C7"/>
    <w:rsid w:val="00665226"/>
    <w:rsid w:val="006674FA"/>
    <w:rsid w:val="00667FA6"/>
    <w:rsid w:val="00671CC5"/>
    <w:rsid w:val="00675E23"/>
    <w:rsid w:val="00677091"/>
    <w:rsid w:val="00680B8E"/>
    <w:rsid w:val="006837CD"/>
    <w:rsid w:val="006849C7"/>
    <w:rsid w:val="00685F21"/>
    <w:rsid w:val="0068725F"/>
    <w:rsid w:val="00687A08"/>
    <w:rsid w:val="006906EC"/>
    <w:rsid w:val="006913FE"/>
    <w:rsid w:val="006927BC"/>
    <w:rsid w:val="006A0E36"/>
    <w:rsid w:val="006A224A"/>
    <w:rsid w:val="006A2548"/>
    <w:rsid w:val="006B1E7A"/>
    <w:rsid w:val="006B2BBE"/>
    <w:rsid w:val="006B4D49"/>
    <w:rsid w:val="006B66AC"/>
    <w:rsid w:val="006B7173"/>
    <w:rsid w:val="006B7300"/>
    <w:rsid w:val="006C0494"/>
    <w:rsid w:val="006C28E0"/>
    <w:rsid w:val="006C2F94"/>
    <w:rsid w:val="006C57A5"/>
    <w:rsid w:val="006C7F77"/>
    <w:rsid w:val="006C7FC7"/>
    <w:rsid w:val="006D24D5"/>
    <w:rsid w:val="006D52D6"/>
    <w:rsid w:val="006E00E9"/>
    <w:rsid w:val="006E27B6"/>
    <w:rsid w:val="006E4CDE"/>
    <w:rsid w:val="006E7056"/>
    <w:rsid w:val="006E7F94"/>
    <w:rsid w:val="006F0D9C"/>
    <w:rsid w:val="006F13E3"/>
    <w:rsid w:val="006F1F93"/>
    <w:rsid w:val="006F61A6"/>
    <w:rsid w:val="006F645F"/>
    <w:rsid w:val="006F6A9D"/>
    <w:rsid w:val="006F6F9C"/>
    <w:rsid w:val="0070082A"/>
    <w:rsid w:val="00700AC5"/>
    <w:rsid w:val="007021D6"/>
    <w:rsid w:val="00702896"/>
    <w:rsid w:val="007067F8"/>
    <w:rsid w:val="0071008A"/>
    <w:rsid w:val="00710657"/>
    <w:rsid w:val="00711B0F"/>
    <w:rsid w:val="00714442"/>
    <w:rsid w:val="0072067E"/>
    <w:rsid w:val="00720B98"/>
    <w:rsid w:val="00721035"/>
    <w:rsid w:val="00723077"/>
    <w:rsid w:val="007236C8"/>
    <w:rsid w:val="00723C32"/>
    <w:rsid w:val="007244FC"/>
    <w:rsid w:val="00730485"/>
    <w:rsid w:val="00736F84"/>
    <w:rsid w:val="00737672"/>
    <w:rsid w:val="00743AA7"/>
    <w:rsid w:val="00744F67"/>
    <w:rsid w:val="00746D20"/>
    <w:rsid w:val="00752B14"/>
    <w:rsid w:val="007602E0"/>
    <w:rsid w:val="0076204C"/>
    <w:rsid w:val="00765FA4"/>
    <w:rsid w:val="00766336"/>
    <w:rsid w:val="007670D6"/>
    <w:rsid w:val="00771D05"/>
    <w:rsid w:val="00773E10"/>
    <w:rsid w:val="007743BF"/>
    <w:rsid w:val="007848BA"/>
    <w:rsid w:val="00785C42"/>
    <w:rsid w:val="0078651B"/>
    <w:rsid w:val="007877FE"/>
    <w:rsid w:val="00791E08"/>
    <w:rsid w:val="00792786"/>
    <w:rsid w:val="007933D9"/>
    <w:rsid w:val="0079505D"/>
    <w:rsid w:val="0079618A"/>
    <w:rsid w:val="00797A25"/>
    <w:rsid w:val="007A117B"/>
    <w:rsid w:val="007A2B06"/>
    <w:rsid w:val="007A6FBA"/>
    <w:rsid w:val="007B23E6"/>
    <w:rsid w:val="007B7881"/>
    <w:rsid w:val="007C54FF"/>
    <w:rsid w:val="007D00F3"/>
    <w:rsid w:val="007D15EB"/>
    <w:rsid w:val="007D3BA2"/>
    <w:rsid w:val="007D448B"/>
    <w:rsid w:val="007D79E3"/>
    <w:rsid w:val="007E4F3E"/>
    <w:rsid w:val="007E5152"/>
    <w:rsid w:val="007E7475"/>
    <w:rsid w:val="007F086E"/>
    <w:rsid w:val="007F0EBB"/>
    <w:rsid w:val="007F49BA"/>
    <w:rsid w:val="007F4A36"/>
    <w:rsid w:val="007F7F47"/>
    <w:rsid w:val="00804030"/>
    <w:rsid w:val="00805F73"/>
    <w:rsid w:val="00811090"/>
    <w:rsid w:val="008140F6"/>
    <w:rsid w:val="00820095"/>
    <w:rsid w:val="00820653"/>
    <w:rsid w:val="00825109"/>
    <w:rsid w:val="008266FB"/>
    <w:rsid w:val="00826D39"/>
    <w:rsid w:val="00834978"/>
    <w:rsid w:val="00836B33"/>
    <w:rsid w:val="00836D4B"/>
    <w:rsid w:val="00842C67"/>
    <w:rsid w:val="00851087"/>
    <w:rsid w:val="008513BB"/>
    <w:rsid w:val="00853465"/>
    <w:rsid w:val="00854CCB"/>
    <w:rsid w:val="00854E71"/>
    <w:rsid w:val="00860777"/>
    <w:rsid w:val="0086080F"/>
    <w:rsid w:val="008629F0"/>
    <w:rsid w:val="00863C4E"/>
    <w:rsid w:val="008644A1"/>
    <w:rsid w:val="008736BD"/>
    <w:rsid w:val="00882832"/>
    <w:rsid w:val="00882B95"/>
    <w:rsid w:val="008861F5"/>
    <w:rsid w:val="00890ABD"/>
    <w:rsid w:val="00890F82"/>
    <w:rsid w:val="0089513E"/>
    <w:rsid w:val="008958E2"/>
    <w:rsid w:val="00896CE2"/>
    <w:rsid w:val="008978B7"/>
    <w:rsid w:val="008A4CE3"/>
    <w:rsid w:val="008A5846"/>
    <w:rsid w:val="008A6782"/>
    <w:rsid w:val="008B01A4"/>
    <w:rsid w:val="008B182E"/>
    <w:rsid w:val="008B4C39"/>
    <w:rsid w:val="008B7BC9"/>
    <w:rsid w:val="008C063F"/>
    <w:rsid w:val="008C17DB"/>
    <w:rsid w:val="008C3C76"/>
    <w:rsid w:val="008C6043"/>
    <w:rsid w:val="008C6206"/>
    <w:rsid w:val="008C7407"/>
    <w:rsid w:val="008C7E81"/>
    <w:rsid w:val="008D27C2"/>
    <w:rsid w:val="008D5CA4"/>
    <w:rsid w:val="008D66C1"/>
    <w:rsid w:val="008D7B57"/>
    <w:rsid w:val="008E151B"/>
    <w:rsid w:val="008E285A"/>
    <w:rsid w:val="008E797F"/>
    <w:rsid w:val="008F130F"/>
    <w:rsid w:val="008F28A1"/>
    <w:rsid w:val="008F2FFD"/>
    <w:rsid w:val="008F6033"/>
    <w:rsid w:val="008F73A6"/>
    <w:rsid w:val="009024D0"/>
    <w:rsid w:val="00902514"/>
    <w:rsid w:val="00904927"/>
    <w:rsid w:val="00906178"/>
    <w:rsid w:val="00907E19"/>
    <w:rsid w:val="009107F0"/>
    <w:rsid w:val="0091364B"/>
    <w:rsid w:val="00914C0C"/>
    <w:rsid w:val="00914F1D"/>
    <w:rsid w:val="009174A0"/>
    <w:rsid w:val="0092341B"/>
    <w:rsid w:val="00927B27"/>
    <w:rsid w:val="00927CE6"/>
    <w:rsid w:val="009323DE"/>
    <w:rsid w:val="00932E2C"/>
    <w:rsid w:val="009331A2"/>
    <w:rsid w:val="009353F9"/>
    <w:rsid w:val="00936890"/>
    <w:rsid w:val="00937F92"/>
    <w:rsid w:val="00941516"/>
    <w:rsid w:val="009465EC"/>
    <w:rsid w:val="009504E6"/>
    <w:rsid w:val="00950A47"/>
    <w:rsid w:val="0095178F"/>
    <w:rsid w:val="0095672F"/>
    <w:rsid w:val="0096075D"/>
    <w:rsid w:val="00961C3D"/>
    <w:rsid w:val="00961CD6"/>
    <w:rsid w:val="009668E9"/>
    <w:rsid w:val="009674A6"/>
    <w:rsid w:val="00971F07"/>
    <w:rsid w:val="00972B73"/>
    <w:rsid w:val="009736C5"/>
    <w:rsid w:val="0097423B"/>
    <w:rsid w:val="00974281"/>
    <w:rsid w:val="00974D19"/>
    <w:rsid w:val="00976D91"/>
    <w:rsid w:val="00977611"/>
    <w:rsid w:val="00987EAE"/>
    <w:rsid w:val="00991E51"/>
    <w:rsid w:val="00992909"/>
    <w:rsid w:val="009A4003"/>
    <w:rsid w:val="009A60A8"/>
    <w:rsid w:val="009B15E9"/>
    <w:rsid w:val="009B1A84"/>
    <w:rsid w:val="009B4939"/>
    <w:rsid w:val="009B5B9C"/>
    <w:rsid w:val="009B732E"/>
    <w:rsid w:val="009C226D"/>
    <w:rsid w:val="009C22F2"/>
    <w:rsid w:val="009C421E"/>
    <w:rsid w:val="009C6C59"/>
    <w:rsid w:val="009C761B"/>
    <w:rsid w:val="009D0B5E"/>
    <w:rsid w:val="009D1147"/>
    <w:rsid w:val="009D2390"/>
    <w:rsid w:val="009D47D3"/>
    <w:rsid w:val="009D5006"/>
    <w:rsid w:val="009D6521"/>
    <w:rsid w:val="009D6920"/>
    <w:rsid w:val="009D79BC"/>
    <w:rsid w:val="009E1C73"/>
    <w:rsid w:val="009E2C59"/>
    <w:rsid w:val="009E33B3"/>
    <w:rsid w:val="009E4E04"/>
    <w:rsid w:val="00A00D39"/>
    <w:rsid w:val="00A01B8A"/>
    <w:rsid w:val="00A03333"/>
    <w:rsid w:val="00A054D9"/>
    <w:rsid w:val="00A0615F"/>
    <w:rsid w:val="00A06D38"/>
    <w:rsid w:val="00A10F97"/>
    <w:rsid w:val="00A11FA4"/>
    <w:rsid w:val="00A12E73"/>
    <w:rsid w:val="00A137B1"/>
    <w:rsid w:val="00A172E5"/>
    <w:rsid w:val="00A20D11"/>
    <w:rsid w:val="00A23392"/>
    <w:rsid w:val="00A2354F"/>
    <w:rsid w:val="00A24535"/>
    <w:rsid w:val="00A24FC8"/>
    <w:rsid w:val="00A359EC"/>
    <w:rsid w:val="00A36106"/>
    <w:rsid w:val="00A36B3B"/>
    <w:rsid w:val="00A44715"/>
    <w:rsid w:val="00A4487C"/>
    <w:rsid w:val="00A45D79"/>
    <w:rsid w:val="00A46CB8"/>
    <w:rsid w:val="00A47781"/>
    <w:rsid w:val="00A51E6D"/>
    <w:rsid w:val="00A53E38"/>
    <w:rsid w:val="00A67D6A"/>
    <w:rsid w:val="00A7147F"/>
    <w:rsid w:val="00A74FB1"/>
    <w:rsid w:val="00A80BC5"/>
    <w:rsid w:val="00A82840"/>
    <w:rsid w:val="00A848EA"/>
    <w:rsid w:val="00A84A13"/>
    <w:rsid w:val="00A87DC0"/>
    <w:rsid w:val="00A90973"/>
    <w:rsid w:val="00A95965"/>
    <w:rsid w:val="00AA147C"/>
    <w:rsid w:val="00AA32D9"/>
    <w:rsid w:val="00AA47FB"/>
    <w:rsid w:val="00AB0D5D"/>
    <w:rsid w:val="00AB0F61"/>
    <w:rsid w:val="00AB1AB9"/>
    <w:rsid w:val="00AB2F6A"/>
    <w:rsid w:val="00AB592C"/>
    <w:rsid w:val="00AB5A79"/>
    <w:rsid w:val="00AC046E"/>
    <w:rsid w:val="00AC2633"/>
    <w:rsid w:val="00AC2662"/>
    <w:rsid w:val="00AC6EAC"/>
    <w:rsid w:val="00AD0985"/>
    <w:rsid w:val="00AD2112"/>
    <w:rsid w:val="00AD2416"/>
    <w:rsid w:val="00AD3670"/>
    <w:rsid w:val="00AD4656"/>
    <w:rsid w:val="00AD6991"/>
    <w:rsid w:val="00AE4D8C"/>
    <w:rsid w:val="00AE558C"/>
    <w:rsid w:val="00AE5923"/>
    <w:rsid w:val="00AF14CE"/>
    <w:rsid w:val="00AF1685"/>
    <w:rsid w:val="00AF5176"/>
    <w:rsid w:val="00AF6F57"/>
    <w:rsid w:val="00B00B50"/>
    <w:rsid w:val="00B02596"/>
    <w:rsid w:val="00B06C62"/>
    <w:rsid w:val="00B07A40"/>
    <w:rsid w:val="00B113E4"/>
    <w:rsid w:val="00B11986"/>
    <w:rsid w:val="00B11B09"/>
    <w:rsid w:val="00B12587"/>
    <w:rsid w:val="00B14C09"/>
    <w:rsid w:val="00B15E09"/>
    <w:rsid w:val="00B1626F"/>
    <w:rsid w:val="00B179E2"/>
    <w:rsid w:val="00B2019E"/>
    <w:rsid w:val="00B204C7"/>
    <w:rsid w:val="00B21F76"/>
    <w:rsid w:val="00B23371"/>
    <w:rsid w:val="00B24907"/>
    <w:rsid w:val="00B30352"/>
    <w:rsid w:val="00B32352"/>
    <w:rsid w:val="00B32C2E"/>
    <w:rsid w:val="00B35832"/>
    <w:rsid w:val="00B37CA8"/>
    <w:rsid w:val="00B4309A"/>
    <w:rsid w:val="00B43110"/>
    <w:rsid w:val="00B4364E"/>
    <w:rsid w:val="00B44F44"/>
    <w:rsid w:val="00B45DE2"/>
    <w:rsid w:val="00B54F48"/>
    <w:rsid w:val="00B623CB"/>
    <w:rsid w:val="00B66E15"/>
    <w:rsid w:val="00B702BF"/>
    <w:rsid w:val="00B73246"/>
    <w:rsid w:val="00B749C4"/>
    <w:rsid w:val="00B800B3"/>
    <w:rsid w:val="00B82492"/>
    <w:rsid w:val="00B838CF"/>
    <w:rsid w:val="00B92B65"/>
    <w:rsid w:val="00B95A85"/>
    <w:rsid w:val="00BA6307"/>
    <w:rsid w:val="00BB0EEB"/>
    <w:rsid w:val="00BB6358"/>
    <w:rsid w:val="00BB7C83"/>
    <w:rsid w:val="00BC02AA"/>
    <w:rsid w:val="00BC1D8B"/>
    <w:rsid w:val="00BC3564"/>
    <w:rsid w:val="00BC3D63"/>
    <w:rsid w:val="00BC4693"/>
    <w:rsid w:val="00BC56EC"/>
    <w:rsid w:val="00BD17CA"/>
    <w:rsid w:val="00BD18C5"/>
    <w:rsid w:val="00BD28A6"/>
    <w:rsid w:val="00BD3B8E"/>
    <w:rsid w:val="00BD3C4B"/>
    <w:rsid w:val="00BD5CB0"/>
    <w:rsid w:val="00BD72F8"/>
    <w:rsid w:val="00BE22C2"/>
    <w:rsid w:val="00BE3A4D"/>
    <w:rsid w:val="00BE5118"/>
    <w:rsid w:val="00BF05CA"/>
    <w:rsid w:val="00BF1C1F"/>
    <w:rsid w:val="00BF2F16"/>
    <w:rsid w:val="00C0244C"/>
    <w:rsid w:val="00C108CF"/>
    <w:rsid w:val="00C1098A"/>
    <w:rsid w:val="00C13FB5"/>
    <w:rsid w:val="00C17826"/>
    <w:rsid w:val="00C201E1"/>
    <w:rsid w:val="00C2517D"/>
    <w:rsid w:val="00C25A17"/>
    <w:rsid w:val="00C3204C"/>
    <w:rsid w:val="00C346EB"/>
    <w:rsid w:val="00C35871"/>
    <w:rsid w:val="00C36BC3"/>
    <w:rsid w:val="00C413C4"/>
    <w:rsid w:val="00C4158B"/>
    <w:rsid w:val="00C416FC"/>
    <w:rsid w:val="00C442BB"/>
    <w:rsid w:val="00C44CF7"/>
    <w:rsid w:val="00C50027"/>
    <w:rsid w:val="00C51030"/>
    <w:rsid w:val="00C552EC"/>
    <w:rsid w:val="00C5542D"/>
    <w:rsid w:val="00C57957"/>
    <w:rsid w:val="00C61DDB"/>
    <w:rsid w:val="00C6589A"/>
    <w:rsid w:val="00C66D2D"/>
    <w:rsid w:val="00C700CA"/>
    <w:rsid w:val="00C70B87"/>
    <w:rsid w:val="00C71DA6"/>
    <w:rsid w:val="00C74FD7"/>
    <w:rsid w:val="00C802AA"/>
    <w:rsid w:val="00C815D2"/>
    <w:rsid w:val="00C82BE2"/>
    <w:rsid w:val="00C83773"/>
    <w:rsid w:val="00C83818"/>
    <w:rsid w:val="00C83EDD"/>
    <w:rsid w:val="00C87974"/>
    <w:rsid w:val="00C9178B"/>
    <w:rsid w:val="00C91A0B"/>
    <w:rsid w:val="00C91D4D"/>
    <w:rsid w:val="00C9460D"/>
    <w:rsid w:val="00C9472E"/>
    <w:rsid w:val="00C966F0"/>
    <w:rsid w:val="00C96B57"/>
    <w:rsid w:val="00CA0A54"/>
    <w:rsid w:val="00CA0EF6"/>
    <w:rsid w:val="00CA20C2"/>
    <w:rsid w:val="00CA4985"/>
    <w:rsid w:val="00CA49BE"/>
    <w:rsid w:val="00CA5985"/>
    <w:rsid w:val="00CB1B97"/>
    <w:rsid w:val="00CB38AD"/>
    <w:rsid w:val="00CB4320"/>
    <w:rsid w:val="00CC12DF"/>
    <w:rsid w:val="00CC3FB6"/>
    <w:rsid w:val="00CD0496"/>
    <w:rsid w:val="00CD3D2D"/>
    <w:rsid w:val="00CE1DE7"/>
    <w:rsid w:val="00CE3402"/>
    <w:rsid w:val="00CE5E6F"/>
    <w:rsid w:val="00CF182F"/>
    <w:rsid w:val="00CF57AB"/>
    <w:rsid w:val="00CF5FD8"/>
    <w:rsid w:val="00CF65E0"/>
    <w:rsid w:val="00D0773C"/>
    <w:rsid w:val="00D1000D"/>
    <w:rsid w:val="00D143FA"/>
    <w:rsid w:val="00D15AEF"/>
    <w:rsid w:val="00D15FAC"/>
    <w:rsid w:val="00D21BD9"/>
    <w:rsid w:val="00D220CC"/>
    <w:rsid w:val="00D22146"/>
    <w:rsid w:val="00D26237"/>
    <w:rsid w:val="00D27B1F"/>
    <w:rsid w:val="00D308C0"/>
    <w:rsid w:val="00D31691"/>
    <w:rsid w:val="00D3326F"/>
    <w:rsid w:val="00D33929"/>
    <w:rsid w:val="00D349A3"/>
    <w:rsid w:val="00D36965"/>
    <w:rsid w:val="00D4060C"/>
    <w:rsid w:val="00D437DF"/>
    <w:rsid w:val="00D46276"/>
    <w:rsid w:val="00D464E2"/>
    <w:rsid w:val="00D475C8"/>
    <w:rsid w:val="00D47D60"/>
    <w:rsid w:val="00D525A5"/>
    <w:rsid w:val="00D52E9F"/>
    <w:rsid w:val="00D52FC8"/>
    <w:rsid w:val="00D537EB"/>
    <w:rsid w:val="00D633EE"/>
    <w:rsid w:val="00D65DB1"/>
    <w:rsid w:val="00D66146"/>
    <w:rsid w:val="00D72FD1"/>
    <w:rsid w:val="00D75216"/>
    <w:rsid w:val="00D75E67"/>
    <w:rsid w:val="00D76730"/>
    <w:rsid w:val="00D76D68"/>
    <w:rsid w:val="00D8054B"/>
    <w:rsid w:val="00D80B11"/>
    <w:rsid w:val="00D80F04"/>
    <w:rsid w:val="00D81926"/>
    <w:rsid w:val="00D82E23"/>
    <w:rsid w:val="00D83D5A"/>
    <w:rsid w:val="00D87875"/>
    <w:rsid w:val="00D91047"/>
    <w:rsid w:val="00D91AF0"/>
    <w:rsid w:val="00D95AE8"/>
    <w:rsid w:val="00D96E96"/>
    <w:rsid w:val="00D97614"/>
    <w:rsid w:val="00D97AD0"/>
    <w:rsid w:val="00DA24AC"/>
    <w:rsid w:val="00DA2C53"/>
    <w:rsid w:val="00DA3697"/>
    <w:rsid w:val="00DA39D7"/>
    <w:rsid w:val="00DB18B5"/>
    <w:rsid w:val="00DB1E8E"/>
    <w:rsid w:val="00DB2AD4"/>
    <w:rsid w:val="00DB38F2"/>
    <w:rsid w:val="00DB59CE"/>
    <w:rsid w:val="00DB7828"/>
    <w:rsid w:val="00DC075F"/>
    <w:rsid w:val="00DC08B6"/>
    <w:rsid w:val="00DC1E55"/>
    <w:rsid w:val="00DC3B7A"/>
    <w:rsid w:val="00DC5104"/>
    <w:rsid w:val="00DD2779"/>
    <w:rsid w:val="00DD5724"/>
    <w:rsid w:val="00DD66FC"/>
    <w:rsid w:val="00DD7EC1"/>
    <w:rsid w:val="00DE46CB"/>
    <w:rsid w:val="00DE7CCE"/>
    <w:rsid w:val="00DF1776"/>
    <w:rsid w:val="00DF1AC7"/>
    <w:rsid w:val="00DF244A"/>
    <w:rsid w:val="00DF41A1"/>
    <w:rsid w:val="00DF682F"/>
    <w:rsid w:val="00DF6CD1"/>
    <w:rsid w:val="00DF6ED5"/>
    <w:rsid w:val="00E0120F"/>
    <w:rsid w:val="00E015BA"/>
    <w:rsid w:val="00E01A30"/>
    <w:rsid w:val="00E0222F"/>
    <w:rsid w:val="00E049F8"/>
    <w:rsid w:val="00E10F52"/>
    <w:rsid w:val="00E1104A"/>
    <w:rsid w:val="00E15575"/>
    <w:rsid w:val="00E159E3"/>
    <w:rsid w:val="00E1787B"/>
    <w:rsid w:val="00E20DCB"/>
    <w:rsid w:val="00E21883"/>
    <w:rsid w:val="00E21F5E"/>
    <w:rsid w:val="00E23231"/>
    <w:rsid w:val="00E2331B"/>
    <w:rsid w:val="00E24369"/>
    <w:rsid w:val="00E24CB2"/>
    <w:rsid w:val="00E27A6C"/>
    <w:rsid w:val="00E31B8C"/>
    <w:rsid w:val="00E35D37"/>
    <w:rsid w:val="00E35D4B"/>
    <w:rsid w:val="00E42E47"/>
    <w:rsid w:val="00E431D4"/>
    <w:rsid w:val="00E442A6"/>
    <w:rsid w:val="00E4596A"/>
    <w:rsid w:val="00E475AD"/>
    <w:rsid w:val="00E47B8D"/>
    <w:rsid w:val="00E50296"/>
    <w:rsid w:val="00E50869"/>
    <w:rsid w:val="00E5232A"/>
    <w:rsid w:val="00E5232D"/>
    <w:rsid w:val="00E541E2"/>
    <w:rsid w:val="00E54840"/>
    <w:rsid w:val="00E55E87"/>
    <w:rsid w:val="00E62F53"/>
    <w:rsid w:val="00E66F5D"/>
    <w:rsid w:val="00E70353"/>
    <w:rsid w:val="00E72F0C"/>
    <w:rsid w:val="00E7378E"/>
    <w:rsid w:val="00E74896"/>
    <w:rsid w:val="00E813D7"/>
    <w:rsid w:val="00E8199D"/>
    <w:rsid w:val="00E81E4B"/>
    <w:rsid w:val="00E837B6"/>
    <w:rsid w:val="00E931FD"/>
    <w:rsid w:val="00EA3039"/>
    <w:rsid w:val="00EA31A1"/>
    <w:rsid w:val="00EA6B0E"/>
    <w:rsid w:val="00EB3F7B"/>
    <w:rsid w:val="00EC2A7D"/>
    <w:rsid w:val="00EC4003"/>
    <w:rsid w:val="00ED1023"/>
    <w:rsid w:val="00ED330B"/>
    <w:rsid w:val="00ED46AF"/>
    <w:rsid w:val="00EE04A5"/>
    <w:rsid w:val="00EE3671"/>
    <w:rsid w:val="00EE5C90"/>
    <w:rsid w:val="00EE787A"/>
    <w:rsid w:val="00EF16E9"/>
    <w:rsid w:val="00EF5609"/>
    <w:rsid w:val="00EF5F6B"/>
    <w:rsid w:val="00F008BA"/>
    <w:rsid w:val="00F027E8"/>
    <w:rsid w:val="00F035C6"/>
    <w:rsid w:val="00F03932"/>
    <w:rsid w:val="00F05A9D"/>
    <w:rsid w:val="00F16B42"/>
    <w:rsid w:val="00F208C1"/>
    <w:rsid w:val="00F2093C"/>
    <w:rsid w:val="00F21639"/>
    <w:rsid w:val="00F23658"/>
    <w:rsid w:val="00F25DE1"/>
    <w:rsid w:val="00F268D9"/>
    <w:rsid w:val="00F35177"/>
    <w:rsid w:val="00F36266"/>
    <w:rsid w:val="00F40D53"/>
    <w:rsid w:val="00F52548"/>
    <w:rsid w:val="00F5681C"/>
    <w:rsid w:val="00F6394E"/>
    <w:rsid w:val="00F63B0C"/>
    <w:rsid w:val="00F63DB3"/>
    <w:rsid w:val="00F65043"/>
    <w:rsid w:val="00F671AC"/>
    <w:rsid w:val="00F71069"/>
    <w:rsid w:val="00F75EF7"/>
    <w:rsid w:val="00F8083B"/>
    <w:rsid w:val="00F80949"/>
    <w:rsid w:val="00F8360E"/>
    <w:rsid w:val="00F852A7"/>
    <w:rsid w:val="00F87F4F"/>
    <w:rsid w:val="00F90531"/>
    <w:rsid w:val="00F90C0C"/>
    <w:rsid w:val="00F93518"/>
    <w:rsid w:val="00F9374C"/>
    <w:rsid w:val="00F93DB7"/>
    <w:rsid w:val="00F94E57"/>
    <w:rsid w:val="00F96D7F"/>
    <w:rsid w:val="00FA2774"/>
    <w:rsid w:val="00FA30AD"/>
    <w:rsid w:val="00FA3DEA"/>
    <w:rsid w:val="00FA6571"/>
    <w:rsid w:val="00FA6839"/>
    <w:rsid w:val="00FB1AAC"/>
    <w:rsid w:val="00FB2106"/>
    <w:rsid w:val="00FB24D3"/>
    <w:rsid w:val="00FB2FF8"/>
    <w:rsid w:val="00FB5F6F"/>
    <w:rsid w:val="00FB6E09"/>
    <w:rsid w:val="00FC3B80"/>
    <w:rsid w:val="00FC46B1"/>
    <w:rsid w:val="00FC78C0"/>
    <w:rsid w:val="00FC79AA"/>
    <w:rsid w:val="00FD1FB2"/>
    <w:rsid w:val="00FD2D05"/>
    <w:rsid w:val="00FD4829"/>
    <w:rsid w:val="00FD5AFD"/>
    <w:rsid w:val="00FE1852"/>
    <w:rsid w:val="00FE26E6"/>
    <w:rsid w:val="00FE2E07"/>
    <w:rsid w:val="00FF0DD0"/>
    <w:rsid w:val="00FF0DD4"/>
    <w:rsid w:val="00FF2D8C"/>
    <w:rsid w:val="0D2B7666"/>
    <w:rsid w:val="0D5A159C"/>
    <w:rsid w:val="1715746A"/>
    <w:rsid w:val="334B35A1"/>
    <w:rsid w:val="47745187"/>
    <w:rsid w:val="519E418B"/>
    <w:rsid w:val="5E45045F"/>
    <w:rsid w:val="75051856"/>
    <w:rsid w:val="777364CE"/>
    <w:rsid w:val="77A44F27"/>
    <w:rsid w:val="797C434E"/>
    <w:rsid w:val="7ADC26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Body Text Indent"/>
    <w:basedOn w:val="1"/>
    <w:qFormat/>
    <w:uiPriority w:val="0"/>
    <w:pPr>
      <w:ind w:left="883" w:hanging="883" w:hangingChars="200"/>
      <w:jc w:val="center"/>
    </w:pPr>
    <w:rPr>
      <w:rFonts w:ascii="宋体"/>
      <w:b/>
      <w:bCs/>
      <w:kern w:val="0"/>
      <w:sz w:val="44"/>
      <w:szCs w:val="26"/>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annotation subject"/>
    <w:basedOn w:val="2"/>
    <w:next w:val="2"/>
    <w:link w:val="17"/>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annotation reference"/>
    <w:qFormat/>
    <w:uiPriority w:val="0"/>
    <w:rPr>
      <w:sz w:val="21"/>
      <w:szCs w:val="21"/>
    </w:rPr>
  </w:style>
  <w:style w:type="character" w:customStyle="1" w:styleId="15">
    <w:name w:val="页眉 Char"/>
    <w:link w:val="7"/>
    <w:qFormat/>
    <w:uiPriority w:val="0"/>
    <w:rPr>
      <w:kern w:val="2"/>
      <w:sz w:val="18"/>
      <w:szCs w:val="18"/>
    </w:rPr>
  </w:style>
  <w:style w:type="character" w:customStyle="1" w:styleId="16">
    <w:name w:val="批注文字 Char"/>
    <w:link w:val="2"/>
    <w:qFormat/>
    <w:uiPriority w:val="0"/>
    <w:rPr>
      <w:kern w:val="2"/>
      <w:sz w:val="21"/>
    </w:rPr>
  </w:style>
  <w:style w:type="character" w:customStyle="1" w:styleId="17">
    <w:name w:val="批注主题 Char"/>
    <w:link w:val="9"/>
    <w:qFormat/>
    <w:uiPriority w:val="0"/>
    <w:rPr>
      <w:b/>
      <w:bCs/>
      <w:kern w:val="2"/>
      <w:sz w:val="21"/>
    </w:rPr>
  </w:style>
  <w:style w:type="paragraph" w:styleId="18">
    <w:name w:val="List Paragraph"/>
    <w:basedOn w:val="1"/>
    <w:qFormat/>
    <w:uiPriority w:val="99"/>
    <w:pPr>
      <w:ind w:firstLine="420" w:firstLineChars="200"/>
    </w:pPr>
  </w:style>
  <w:style w:type="character" w:customStyle="1" w:styleId="19">
    <w:name w:val="页脚 Char"/>
    <w:link w:val="6"/>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4309</Words>
  <Characters>4385</Characters>
  <Lines>34</Lines>
  <Paragraphs>9</Paragraphs>
  <TotalTime>116</TotalTime>
  <ScaleCrop>false</ScaleCrop>
  <LinksUpToDate>false</LinksUpToDate>
  <CharactersWithSpaces>4438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2021-09-03T08:12:00Z</dcterms:created>
  <dc:creator>ss</dc:creator>
  <cp:lastModifiedBy>J</cp:lastModifiedBy>
  <cp:lastPrinted>2021-09-03T08:34:00Z</cp:lastPrinted>
  <dcterms:modified xsi:type="dcterms:W3CDTF">2023-09-15T13:49:11Z</dcterms:modified>
  <dc:title>关于做好推荐2000届优秀本科毕业生</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A58E3ACE3C0945EDBBB10C99AE3D0B93</vt:lpwstr>
  </property>
</Properties>
</file>